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2066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>ROM</w:t>
      </w:r>
      <w:r>
        <w:rPr>
          <w:color w:val="000000"/>
          <w:sz w:val="22"/>
          <w:szCs w:val="22"/>
          <w:lang w:val="ro-RO"/>
        </w:rPr>
        <w:t>A</w:t>
      </w:r>
      <w:r w:rsidRPr="002E0F81">
        <w:rPr>
          <w:color w:val="000000"/>
          <w:sz w:val="22"/>
          <w:szCs w:val="22"/>
          <w:lang w:val="ro-RO"/>
        </w:rPr>
        <w:t>NIA</w:t>
      </w:r>
    </w:p>
    <w:p w14:paraId="5801B75B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JUDEŢUL </w:t>
      </w:r>
      <w:r>
        <w:t>BRASOV</w:t>
      </w:r>
    </w:p>
    <w:p w14:paraId="54E3F0C7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PRIMARUL </w:t>
      </w:r>
      <w:r>
        <w:rPr>
          <w:color w:val="000000"/>
          <w:sz w:val="22"/>
          <w:szCs w:val="22"/>
          <w:lang w:val="ro-RO"/>
        </w:rPr>
        <w:t>COMUNEI FELDIOARA</w:t>
      </w:r>
    </w:p>
    <w:p w14:paraId="4798F083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</w:p>
    <w:p w14:paraId="514FB2D9" w14:textId="77777777" w:rsidR="00964D11" w:rsidRPr="002E0F81" w:rsidRDefault="00964D11" w:rsidP="00964D11">
      <w:pPr>
        <w:jc w:val="center"/>
        <w:rPr>
          <w:b/>
          <w:color w:val="000000"/>
          <w:sz w:val="26"/>
          <w:szCs w:val="22"/>
          <w:lang w:val="ro-RO"/>
        </w:rPr>
      </w:pPr>
      <w:r w:rsidRPr="002E0F81">
        <w:rPr>
          <w:b/>
          <w:color w:val="000000"/>
          <w:sz w:val="26"/>
          <w:szCs w:val="22"/>
          <w:lang w:val="ro-RO"/>
        </w:rPr>
        <w:t>DISPOZIŢIA</w:t>
      </w:r>
    </w:p>
    <w:p w14:paraId="798CFFD4" w14:textId="77777777" w:rsidR="00964D11" w:rsidRPr="00A012FD" w:rsidRDefault="00964D11" w:rsidP="00964D11">
      <w:pPr>
        <w:jc w:val="center"/>
        <w:rPr>
          <w:b/>
          <w:color w:val="000000"/>
          <w:sz w:val="26"/>
          <w:szCs w:val="22"/>
          <w:lang w:val="ro-RO"/>
        </w:rPr>
      </w:pPr>
      <w:r>
        <w:rPr>
          <w:b/>
          <w:color w:val="000000"/>
          <w:sz w:val="26"/>
          <w:szCs w:val="22"/>
          <w:lang w:val="ro-RO"/>
        </w:rPr>
        <w:t>Nr</w:t>
      </w:r>
      <w:r w:rsidRPr="002E0F81">
        <w:rPr>
          <w:b/>
          <w:color w:val="000000"/>
          <w:sz w:val="26"/>
          <w:szCs w:val="22"/>
          <w:lang w:val="ro-RO"/>
        </w:rPr>
        <w:t>.</w:t>
      </w:r>
      <w:r>
        <w:rPr>
          <w:b/>
          <w:color w:val="000000"/>
          <w:sz w:val="26"/>
          <w:szCs w:val="22"/>
          <w:lang w:val="ro-RO"/>
        </w:rPr>
        <w:t xml:space="preserve">  327/16.09.2025</w:t>
      </w:r>
    </w:p>
    <w:p w14:paraId="313F4F6B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</w:p>
    <w:p w14:paraId="64D688D2" w14:textId="77777777" w:rsidR="00964D11" w:rsidRDefault="00964D11" w:rsidP="00964D11">
      <w:pPr>
        <w:jc w:val="center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privind stimularea participării în învățământul  preșcolar a copiilor provenind din familii</w:t>
      </w:r>
    </w:p>
    <w:p w14:paraId="154BCF09" w14:textId="77777777" w:rsidR="00964D11" w:rsidRPr="002E0F81" w:rsidRDefault="00964D11" w:rsidP="00964D11">
      <w:pPr>
        <w:jc w:val="center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defavorizate</w:t>
      </w:r>
    </w:p>
    <w:p w14:paraId="18525195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</w:p>
    <w:p w14:paraId="29107548" w14:textId="77777777" w:rsidR="00964D11" w:rsidRPr="00D36F1D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D36F1D">
        <w:rPr>
          <w:color w:val="000000"/>
          <w:sz w:val="22"/>
          <w:szCs w:val="22"/>
          <w:lang w:val="ro-RO"/>
        </w:rPr>
        <w:t>În temeiul prevederilor î</w:t>
      </w:r>
      <w:r w:rsidRPr="00D36F1D">
        <w:rPr>
          <w:lang w:val="ro-RO"/>
        </w:rPr>
        <w:t xml:space="preserve">n baza prevederilor art.196 alin.1, </w:t>
      </w:r>
      <w:proofErr w:type="spellStart"/>
      <w:r w:rsidRPr="00D36F1D">
        <w:rPr>
          <w:lang w:val="ro-RO"/>
        </w:rPr>
        <w:t>lit.b</w:t>
      </w:r>
      <w:proofErr w:type="spellEnd"/>
      <w:r w:rsidRPr="00D36F1D">
        <w:rPr>
          <w:lang w:val="ro-RO"/>
        </w:rPr>
        <w:t xml:space="preserve"> din OUG 57/2019 privind Codul administrativ</w:t>
      </w:r>
      <w:r w:rsidRPr="00D36F1D">
        <w:rPr>
          <w:color w:val="000000"/>
          <w:sz w:val="22"/>
          <w:szCs w:val="22"/>
          <w:lang w:val="ro-RO"/>
        </w:rPr>
        <w:t xml:space="preserve"> având în vedere dispozițiile Legii 248/28.10.2015, privind stimularea participării în învățământul  preșcolar a copiilor provenind din familii defavorizate și ale Normelor metodologice de aplicare a prevederilor Legii nr.248/2015 privind  stimularea participării în învățământul preșcolar a copiilor provenind din familii </w:t>
      </w:r>
      <w:proofErr w:type="spellStart"/>
      <w:r w:rsidRPr="00D36F1D">
        <w:rPr>
          <w:color w:val="000000"/>
          <w:sz w:val="22"/>
          <w:szCs w:val="22"/>
          <w:lang w:val="ro-RO"/>
        </w:rPr>
        <w:t>dafavorizate</w:t>
      </w:r>
      <w:proofErr w:type="spellEnd"/>
      <w:r w:rsidRPr="00D36F1D">
        <w:rPr>
          <w:color w:val="000000"/>
          <w:sz w:val="22"/>
          <w:szCs w:val="22"/>
          <w:lang w:val="ro-RO"/>
        </w:rPr>
        <w:t xml:space="preserve"> și a procedurii de acordare a tichetelor sociale pentru </w:t>
      </w:r>
      <w:proofErr w:type="spellStart"/>
      <w:r w:rsidRPr="00D36F1D">
        <w:rPr>
          <w:color w:val="000000"/>
          <w:sz w:val="22"/>
          <w:szCs w:val="22"/>
          <w:lang w:val="ro-RO"/>
        </w:rPr>
        <w:t>gradiniță</w:t>
      </w:r>
      <w:proofErr w:type="spellEnd"/>
      <w:r w:rsidRPr="00D36F1D">
        <w:rPr>
          <w:color w:val="000000"/>
          <w:sz w:val="22"/>
          <w:szCs w:val="22"/>
          <w:lang w:val="ro-RO"/>
        </w:rPr>
        <w:t>, prevăzute în Hotărârea nr. 15/19.01.2016;</w:t>
      </w:r>
    </w:p>
    <w:p w14:paraId="77700ED0" w14:textId="77777777" w:rsidR="00964D11" w:rsidRPr="002E0F81" w:rsidRDefault="00964D11" w:rsidP="00964D11">
      <w:pPr>
        <w:jc w:val="both"/>
        <w:rPr>
          <w:color w:val="000000"/>
          <w:sz w:val="22"/>
          <w:szCs w:val="22"/>
          <w:lang w:val="ro-RO"/>
        </w:rPr>
      </w:pPr>
      <w:r w:rsidRPr="00D36F1D">
        <w:rPr>
          <w:color w:val="000000"/>
          <w:sz w:val="22"/>
          <w:szCs w:val="22"/>
          <w:lang w:val="ro-RO"/>
        </w:rPr>
        <w:tab/>
        <w:t>Și aplicarea HG nr. 391/2021 pentru modificarea și completarea Normelor metodologice de aplicare a prevederilor  Legii nr. 248/2015 aprobate prin HG nr.15/2016;</w:t>
      </w:r>
    </w:p>
    <w:p w14:paraId="20F54297" w14:textId="77777777" w:rsidR="00964D11" w:rsidRPr="002E0F8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>analiz</w:t>
      </w:r>
      <w:r>
        <w:rPr>
          <w:color w:val="000000"/>
          <w:sz w:val="22"/>
          <w:szCs w:val="22"/>
          <w:lang w:val="ro-RO"/>
        </w:rPr>
        <w:t>â</w:t>
      </w:r>
      <w:r w:rsidRPr="002E0F81">
        <w:rPr>
          <w:color w:val="000000"/>
          <w:sz w:val="22"/>
          <w:szCs w:val="22"/>
          <w:lang w:val="ro-RO"/>
        </w:rPr>
        <w:t xml:space="preserve">nd fiecare </w:t>
      </w:r>
      <w:r>
        <w:rPr>
          <w:color w:val="000000"/>
          <w:sz w:val="22"/>
          <w:szCs w:val="22"/>
          <w:lang w:val="ro-RO"/>
        </w:rPr>
        <w:t>dosar de VMI (componenta ASF) în plată aflat la Compartimentul de Asistență Socială Feldioara, în luna august 2025;</w:t>
      </w:r>
    </w:p>
    <w:p w14:paraId="7C086C99" w14:textId="77777777" w:rsidR="00964D11" w:rsidRDefault="00964D11" w:rsidP="00964D11">
      <w:pPr>
        <w:jc w:val="both"/>
      </w:pPr>
      <w:r w:rsidRPr="00D36F1D">
        <w:rPr>
          <w:lang w:val="ro-RO"/>
        </w:rPr>
        <w:t xml:space="preserve">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196 alin.1, lit. b din OUG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;</w:t>
      </w:r>
    </w:p>
    <w:p w14:paraId="6A3B304D" w14:textId="77777777" w:rsidR="00964D11" w:rsidRPr="00F022B5" w:rsidRDefault="00964D11" w:rsidP="00964D11">
      <w:pPr>
        <w:ind w:firstLine="720"/>
        <w:jc w:val="both"/>
        <w:rPr>
          <w:color w:val="000000"/>
          <w:sz w:val="22"/>
          <w:szCs w:val="22"/>
        </w:rPr>
      </w:pPr>
    </w:p>
    <w:p w14:paraId="7BB8EA96" w14:textId="77777777" w:rsidR="00964D11" w:rsidRPr="002E0F8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Primarul emite </w:t>
      </w:r>
      <w:proofErr w:type="spellStart"/>
      <w:r w:rsidRPr="002E0F81">
        <w:rPr>
          <w:color w:val="000000"/>
          <w:sz w:val="22"/>
          <w:szCs w:val="22"/>
          <w:lang w:val="ro-RO"/>
        </w:rPr>
        <w:t>urm</w:t>
      </w:r>
      <w:r>
        <w:rPr>
          <w:color w:val="000000"/>
          <w:sz w:val="22"/>
          <w:szCs w:val="22"/>
          <w:lang w:val="ro-RO"/>
        </w:rPr>
        <w:t>a</w:t>
      </w:r>
      <w:r w:rsidRPr="002E0F81">
        <w:rPr>
          <w:color w:val="000000"/>
          <w:sz w:val="22"/>
          <w:szCs w:val="22"/>
          <w:lang w:val="ro-RO"/>
        </w:rPr>
        <w:t>toarea</w:t>
      </w:r>
      <w:proofErr w:type="spellEnd"/>
      <w:r w:rsidRPr="002E0F81">
        <w:rPr>
          <w:color w:val="000000"/>
          <w:sz w:val="22"/>
          <w:szCs w:val="22"/>
          <w:lang w:val="ro-RO"/>
        </w:rPr>
        <w:t xml:space="preserve"> </w:t>
      </w:r>
    </w:p>
    <w:p w14:paraId="000C7CEC" w14:textId="77777777" w:rsidR="00964D11" w:rsidRPr="002E0F81" w:rsidRDefault="00964D11" w:rsidP="00964D11">
      <w:pPr>
        <w:ind w:firstLine="720"/>
        <w:rPr>
          <w:color w:val="000000"/>
          <w:sz w:val="22"/>
          <w:szCs w:val="22"/>
          <w:lang w:val="ro-RO"/>
        </w:rPr>
      </w:pPr>
    </w:p>
    <w:p w14:paraId="7A212A18" w14:textId="77777777" w:rsidR="00964D11" w:rsidRPr="002E0F81" w:rsidRDefault="00964D11" w:rsidP="00964D11">
      <w:pPr>
        <w:ind w:firstLine="720"/>
        <w:jc w:val="center"/>
        <w:rPr>
          <w:color w:val="000000"/>
          <w:sz w:val="22"/>
          <w:szCs w:val="22"/>
          <w:lang w:val="ro-RO"/>
        </w:rPr>
      </w:pPr>
      <w:r w:rsidRPr="002E0F81">
        <w:rPr>
          <w:b/>
          <w:color w:val="000000"/>
          <w:sz w:val="22"/>
          <w:szCs w:val="22"/>
          <w:lang w:val="ro-RO"/>
        </w:rPr>
        <w:t>DISPOZIŢIE</w:t>
      </w:r>
      <w:r w:rsidRPr="002E0F81">
        <w:rPr>
          <w:color w:val="000000"/>
          <w:sz w:val="22"/>
          <w:szCs w:val="22"/>
          <w:lang w:val="ro-RO"/>
        </w:rPr>
        <w:t>:</w:t>
      </w:r>
    </w:p>
    <w:p w14:paraId="6558DC0B" w14:textId="77777777" w:rsidR="00964D11" w:rsidRPr="002E0F81" w:rsidRDefault="00964D11" w:rsidP="00964D11">
      <w:pPr>
        <w:rPr>
          <w:color w:val="000000"/>
          <w:sz w:val="22"/>
          <w:szCs w:val="22"/>
          <w:lang w:val="ro-RO"/>
        </w:rPr>
      </w:pPr>
    </w:p>
    <w:p w14:paraId="1CFE8D41" w14:textId="77777777" w:rsidR="00964D11" w:rsidRPr="002E0F8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Art. 1. - Se </w:t>
      </w:r>
      <w:r>
        <w:rPr>
          <w:color w:val="000000"/>
          <w:sz w:val="22"/>
          <w:szCs w:val="22"/>
          <w:lang w:val="ro-RO"/>
        </w:rPr>
        <w:t xml:space="preserve"> aprobă acordarea de tichete sociale pentru un </w:t>
      </w:r>
      <w:proofErr w:type="spellStart"/>
      <w:r>
        <w:rPr>
          <w:color w:val="000000"/>
          <w:sz w:val="22"/>
          <w:szCs w:val="22"/>
          <w:lang w:val="ro-RO"/>
        </w:rPr>
        <w:t>numar</w:t>
      </w:r>
      <w:proofErr w:type="spellEnd"/>
      <w:r>
        <w:rPr>
          <w:color w:val="000000"/>
          <w:sz w:val="22"/>
          <w:szCs w:val="22"/>
          <w:lang w:val="ro-RO"/>
        </w:rPr>
        <w:t xml:space="preserve"> de </w:t>
      </w:r>
      <w:r w:rsidRPr="00F81D82">
        <w:rPr>
          <w:b/>
          <w:color w:val="000000"/>
          <w:sz w:val="22"/>
          <w:szCs w:val="22"/>
          <w:lang w:val="ro-RO"/>
        </w:rPr>
        <w:t>10 copii</w:t>
      </w:r>
      <w:r>
        <w:rPr>
          <w:color w:val="000000"/>
          <w:sz w:val="22"/>
          <w:szCs w:val="22"/>
          <w:lang w:val="ro-RO"/>
        </w:rPr>
        <w:t xml:space="preserve"> începând cu luna Septembrie 2025, copii aflați în dosarele de VMI ,componenta ASF;</w:t>
      </w:r>
    </w:p>
    <w:p w14:paraId="6C7DC8BB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Art. 2. - Se </w:t>
      </w:r>
      <w:proofErr w:type="spellStart"/>
      <w:r w:rsidRPr="002E0F81">
        <w:rPr>
          <w:color w:val="000000"/>
          <w:sz w:val="22"/>
          <w:szCs w:val="22"/>
          <w:lang w:val="ro-RO"/>
        </w:rPr>
        <w:t>stabile</w:t>
      </w:r>
      <w:r>
        <w:rPr>
          <w:color w:val="000000"/>
          <w:sz w:val="22"/>
          <w:szCs w:val="22"/>
          <w:lang w:val="ro-RO"/>
        </w:rPr>
        <w:t>s</w:t>
      </w:r>
      <w:r w:rsidRPr="002E0F81">
        <w:rPr>
          <w:color w:val="000000"/>
          <w:sz w:val="22"/>
          <w:szCs w:val="22"/>
          <w:lang w:val="ro-RO"/>
        </w:rPr>
        <w:t>te</w:t>
      </w:r>
      <w:proofErr w:type="spellEnd"/>
      <w:r w:rsidRPr="002E0F81">
        <w:rPr>
          <w:color w:val="000000"/>
          <w:sz w:val="22"/>
          <w:szCs w:val="22"/>
          <w:lang w:val="ro-RO"/>
        </w:rPr>
        <w:t xml:space="preserve">, </w:t>
      </w:r>
      <w:r>
        <w:rPr>
          <w:color w:val="000000"/>
          <w:sz w:val="22"/>
          <w:szCs w:val="22"/>
          <w:lang w:val="ro-RO"/>
        </w:rPr>
        <w:t>î</w:t>
      </w:r>
      <w:r w:rsidRPr="002E0F81">
        <w:rPr>
          <w:color w:val="000000"/>
          <w:sz w:val="22"/>
          <w:szCs w:val="22"/>
          <w:lang w:val="ro-RO"/>
        </w:rPr>
        <w:t>ncep</w:t>
      </w:r>
      <w:r>
        <w:rPr>
          <w:color w:val="000000"/>
          <w:sz w:val="22"/>
          <w:szCs w:val="22"/>
          <w:lang w:val="ro-RO"/>
        </w:rPr>
        <w:t>â</w:t>
      </w:r>
      <w:r w:rsidRPr="002E0F81">
        <w:rPr>
          <w:color w:val="000000"/>
          <w:sz w:val="22"/>
          <w:szCs w:val="22"/>
          <w:lang w:val="ro-RO"/>
        </w:rPr>
        <w:t>nd c</w:t>
      </w:r>
      <w:r>
        <w:rPr>
          <w:color w:val="000000"/>
          <w:sz w:val="22"/>
          <w:szCs w:val="22"/>
          <w:lang w:val="ro-RO"/>
        </w:rPr>
        <w:t>u luna septembrie 2025</w:t>
      </w:r>
      <w:r w:rsidRPr="002E0F81">
        <w:rPr>
          <w:color w:val="000000"/>
          <w:sz w:val="22"/>
          <w:szCs w:val="22"/>
          <w:lang w:val="ro-RO"/>
        </w:rPr>
        <w:t>,</w:t>
      </w:r>
      <w:r>
        <w:rPr>
          <w:color w:val="000000"/>
          <w:sz w:val="22"/>
          <w:szCs w:val="22"/>
          <w:lang w:val="ro-RO"/>
        </w:rPr>
        <w:t xml:space="preserve"> pentru anul școlar 2025-2026, pe baza prezenței lunare întocmite de educatori, </w:t>
      </w:r>
      <w:r w:rsidRPr="002E0F81">
        <w:rPr>
          <w:color w:val="000000"/>
          <w:sz w:val="22"/>
          <w:szCs w:val="22"/>
          <w:lang w:val="ro-RO"/>
        </w:rPr>
        <w:t xml:space="preserve">dreptul la </w:t>
      </w:r>
      <w:r>
        <w:rPr>
          <w:color w:val="000000"/>
          <w:sz w:val="22"/>
          <w:szCs w:val="22"/>
          <w:lang w:val="ro-RO"/>
        </w:rPr>
        <w:t>stimulentul</w:t>
      </w:r>
      <w:r w:rsidRPr="002E0F81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>educațional persoanelor prevăzute</w:t>
      </w:r>
      <w:r w:rsidRPr="002E0F81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>î</w:t>
      </w:r>
      <w:r w:rsidRPr="002E0F81">
        <w:rPr>
          <w:color w:val="000000"/>
          <w:sz w:val="22"/>
          <w:szCs w:val="22"/>
          <w:lang w:val="ro-RO"/>
        </w:rPr>
        <w:t>n anexa care face parte din prezenta dispozi</w:t>
      </w:r>
      <w:r>
        <w:rPr>
          <w:color w:val="000000"/>
          <w:sz w:val="22"/>
          <w:szCs w:val="22"/>
          <w:lang w:val="ro-RO"/>
        </w:rPr>
        <w:t>ț</w:t>
      </w:r>
      <w:r w:rsidRPr="002E0F81">
        <w:rPr>
          <w:color w:val="000000"/>
          <w:sz w:val="22"/>
          <w:szCs w:val="22"/>
          <w:lang w:val="ro-RO"/>
        </w:rPr>
        <w:t>ie</w:t>
      </w:r>
      <w:r>
        <w:rPr>
          <w:color w:val="000000"/>
          <w:sz w:val="22"/>
          <w:szCs w:val="22"/>
          <w:lang w:val="ro-RO"/>
        </w:rPr>
        <w:t>;</w:t>
      </w:r>
    </w:p>
    <w:p w14:paraId="308AB122" w14:textId="77777777" w:rsidR="00964D11" w:rsidRPr="002E0F8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Art. 3</w:t>
      </w:r>
      <w:r w:rsidRPr="002E0F81">
        <w:rPr>
          <w:color w:val="000000"/>
          <w:sz w:val="22"/>
          <w:szCs w:val="22"/>
          <w:lang w:val="ro-RO"/>
        </w:rPr>
        <w:t>. -</w:t>
      </w:r>
      <w:r w:rsidRPr="00BC7CA9">
        <w:rPr>
          <w:noProof/>
          <w:lang w:val="ro-RO"/>
        </w:rPr>
        <w:t xml:space="preserve">Se aprobă </w:t>
      </w:r>
      <w:r>
        <w:rPr>
          <w:noProof/>
          <w:lang w:val="ro-RO"/>
        </w:rPr>
        <w:t>acordarea</w:t>
      </w:r>
      <w:r w:rsidRPr="00BC7CA9">
        <w:rPr>
          <w:noProof/>
          <w:lang w:val="ro-RO"/>
        </w:rPr>
        <w:t xml:space="preserve"> stimulentului educaţional in valoare nominala de 1</w:t>
      </w:r>
      <w:r>
        <w:rPr>
          <w:noProof/>
          <w:lang w:val="ro-RO"/>
        </w:rPr>
        <w:t>33</w:t>
      </w:r>
      <w:r w:rsidRPr="00BC7CA9">
        <w:rPr>
          <w:noProof/>
          <w:lang w:val="ro-RO"/>
        </w:rPr>
        <w:t xml:space="preserve"> lei conform ISR, aferent lunii </w:t>
      </w:r>
      <w:r>
        <w:rPr>
          <w:noProof/>
          <w:lang w:val="ro-RO"/>
        </w:rPr>
        <w:t>Iunie 2024</w:t>
      </w:r>
      <w:r w:rsidRPr="00BC7CA9">
        <w:rPr>
          <w:noProof/>
          <w:lang w:val="ro-RO"/>
        </w:rPr>
        <w:t>, sub formă de tichete sociale, titularilor cuprinşi în Anexa</w:t>
      </w:r>
      <w:r>
        <w:rPr>
          <w:noProof/>
          <w:lang w:val="ro-RO"/>
        </w:rPr>
        <w:t xml:space="preserve"> nr.1</w:t>
      </w:r>
      <w:r w:rsidRPr="00BC7CA9">
        <w:rPr>
          <w:noProof/>
          <w:lang w:val="ro-RO"/>
        </w:rPr>
        <w:t>, care face parte integrantă din prezenta dispoziţie</w:t>
      </w:r>
    </w:p>
    <w:p w14:paraId="53BA414A" w14:textId="77777777" w:rsidR="00964D11" w:rsidRPr="002E0F8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2E0F81">
        <w:rPr>
          <w:color w:val="000000"/>
          <w:sz w:val="22"/>
          <w:szCs w:val="22"/>
          <w:lang w:val="ro-RO"/>
        </w:rPr>
        <w:t xml:space="preserve">Art. </w:t>
      </w:r>
      <w:r>
        <w:rPr>
          <w:color w:val="000000"/>
          <w:sz w:val="22"/>
          <w:szCs w:val="22"/>
          <w:lang w:val="ro-RO"/>
        </w:rPr>
        <w:t>4</w:t>
      </w:r>
      <w:r w:rsidRPr="002E0F81">
        <w:rPr>
          <w:color w:val="000000"/>
          <w:sz w:val="22"/>
          <w:szCs w:val="22"/>
          <w:lang w:val="ro-RO"/>
        </w:rPr>
        <w:t xml:space="preserve">. - (1) </w:t>
      </w:r>
      <w:r>
        <w:rPr>
          <w:color w:val="000000"/>
          <w:sz w:val="22"/>
          <w:szCs w:val="22"/>
          <w:lang w:val="ro-RO"/>
        </w:rPr>
        <w:t>Î</w:t>
      </w:r>
      <w:r w:rsidRPr="002E0F81">
        <w:rPr>
          <w:color w:val="000000"/>
          <w:sz w:val="22"/>
          <w:szCs w:val="22"/>
          <w:lang w:val="ro-RO"/>
        </w:rPr>
        <w:t xml:space="preserve">mpotriva prezentei </w:t>
      </w:r>
      <w:proofErr w:type="spellStart"/>
      <w:r w:rsidRPr="002E0F81">
        <w:rPr>
          <w:color w:val="000000"/>
          <w:sz w:val="22"/>
          <w:szCs w:val="22"/>
          <w:lang w:val="ro-RO"/>
        </w:rPr>
        <w:t>dispozi</w:t>
      </w:r>
      <w:r>
        <w:rPr>
          <w:color w:val="000000"/>
          <w:sz w:val="22"/>
          <w:szCs w:val="22"/>
          <w:lang w:val="ro-RO"/>
        </w:rPr>
        <w:t>t</w:t>
      </w:r>
      <w:r w:rsidRPr="002E0F81">
        <w:rPr>
          <w:color w:val="000000"/>
          <w:sz w:val="22"/>
          <w:szCs w:val="22"/>
          <w:lang w:val="ro-RO"/>
        </w:rPr>
        <w:t>ii</w:t>
      </w:r>
      <w:proofErr w:type="spellEnd"/>
      <w:r w:rsidRPr="002E0F81">
        <w:rPr>
          <w:color w:val="000000"/>
          <w:sz w:val="22"/>
          <w:szCs w:val="22"/>
          <w:lang w:val="ro-RO"/>
        </w:rPr>
        <w:t xml:space="preserve"> se poate depune, </w:t>
      </w:r>
      <w:r>
        <w:rPr>
          <w:color w:val="000000"/>
          <w:sz w:val="22"/>
          <w:szCs w:val="22"/>
          <w:lang w:val="ro-RO"/>
        </w:rPr>
        <w:t>î</w:t>
      </w:r>
      <w:r w:rsidRPr="002E0F81">
        <w:rPr>
          <w:color w:val="000000"/>
          <w:sz w:val="22"/>
          <w:szCs w:val="22"/>
          <w:lang w:val="ro-RO"/>
        </w:rPr>
        <w:t xml:space="preserve">n termen de 30 de zile de la comunicare, </w:t>
      </w:r>
      <w:r>
        <w:rPr>
          <w:color w:val="000000"/>
          <w:sz w:val="22"/>
          <w:szCs w:val="22"/>
          <w:lang w:val="ro-RO"/>
        </w:rPr>
        <w:t>plângere prealabilă la primarul</w:t>
      </w:r>
      <w:r w:rsidRPr="002E0F81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>COMUNEI FELDIOARA;</w:t>
      </w:r>
    </w:p>
    <w:p w14:paraId="2B6788DA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               </w:t>
      </w:r>
      <w:r w:rsidRPr="002E0F81">
        <w:rPr>
          <w:color w:val="000000"/>
          <w:sz w:val="22"/>
          <w:szCs w:val="22"/>
          <w:lang w:val="ro-RO"/>
        </w:rPr>
        <w:t>(2) Persoana nemul</w:t>
      </w:r>
      <w:r>
        <w:rPr>
          <w:color w:val="000000"/>
          <w:sz w:val="22"/>
          <w:szCs w:val="22"/>
          <w:lang w:val="ro-RO"/>
        </w:rPr>
        <w:t>ț</w:t>
      </w:r>
      <w:r w:rsidRPr="002E0F81">
        <w:rPr>
          <w:color w:val="000000"/>
          <w:sz w:val="22"/>
          <w:szCs w:val="22"/>
          <w:lang w:val="ro-RO"/>
        </w:rPr>
        <w:t>umit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 xml:space="preserve"> de r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>spunsul primit la cererea prealabil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 xml:space="preserve"> adresat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>P</w:t>
      </w:r>
      <w:r w:rsidRPr="002E0F81">
        <w:rPr>
          <w:color w:val="000000"/>
          <w:sz w:val="22"/>
          <w:szCs w:val="22"/>
          <w:lang w:val="ro-RO"/>
        </w:rPr>
        <w:t xml:space="preserve">rimarului </w:t>
      </w:r>
      <w:r>
        <w:rPr>
          <w:color w:val="000000"/>
          <w:sz w:val="22"/>
          <w:szCs w:val="22"/>
          <w:lang w:val="ro-RO"/>
        </w:rPr>
        <w:t>COMUNEI FELDIOARA</w:t>
      </w:r>
      <w:r w:rsidRPr="002E0F81">
        <w:rPr>
          <w:color w:val="000000"/>
          <w:sz w:val="22"/>
          <w:szCs w:val="22"/>
          <w:lang w:val="ro-RO"/>
        </w:rPr>
        <w:t xml:space="preserve"> poate ataca prezenta dispozi</w:t>
      </w:r>
      <w:r>
        <w:rPr>
          <w:color w:val="000000"/>
          <w:sz w:val="22"/>
          <w:szCs w:val="22"/>
          <w:lang w:val="ro-RO"/>
        </w:rPr>
        <w:t>ț</w:t>
      </w:r>
      <w:r w:rsidRPr="002E0F81">
        <w:rPr>
          <w:color w:val="000000"/>
          <w:sz w:val="22"/>
          <w:szCs w:val="22"/>
          <w:lang w:val="ro-RO"/>
        </w:rPr>
        <w:t xml:space="preserve">ie la Tribunalul </w:t>
      </w:r>
      <w:r>
        <w:rPr>
          <w:color w:val="000000"/>
          <w:sz w:val="22"/>
          <w:szCs w:val="22"/>
          <w:lang w:val="ro-RO"/>
        </w:rPr>
        <w:t>BRAȘOV</w:t>
      </w:r>
      <w:r w:rsidRPr="002E0F81">
        <w:rPr>
          <w:color w:val="000000"/>
          <w:sz w:val="22"/>
          <w:szCs w:val="22"/>
          <w:lang w:val="ro-RO"/>
        </w:rPr>
        <w:t xml:space="preserve">, </w:t>
      </w:r>
      <w:r>
        <w:rPr>
          <w:color w:val="000000"/>
          <w:sz w:val="22"/>
          <w:szCs w:val="22"/>
          <w:lang w:val="ro-RO"/>
        </w:rPr>
        <w:t>î</w:t>
      </w:r>
      <w:r w:rsidRPr="002E0F81">
        <w:rPr>
          <w:color w:val="000000"/>
          <w:sz w:val="22"/>
          <w:szCs w:val="22"/>
          <w:lang w:val="ro-RO"/>
        </w:rPr>
        <w:t>n condi</w:t>
      </w:r>
      <w:r>
        <w:rPr>
          <w:color w:val="000000"/>
          <w:sz w:val="22"/>
          <w:szCs w:val="22"/>
          <w:lang w:val="ro-RO"/>
        </w:rPr>
        <w:t>ț</w:t>
      </w:r>
      <w:r w:rsidRPr="002E0F81">
        <w:rPr>
          <w:color w:val="000000"/>
          <w:sz w:val="22"/>
          <w:szCs w:val="22"/>
          <w:lang w:val="ro-RO"/>
        </w:rPr>
        <w:t>iile Legii contenciosului administrativ nr. 554/2004, cu modific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 xml:space="preserve">rile </w:t>
      </w:r>
      <w:r>
        <w:rPr>
          <w:color w:val="000000"/>
          <w:sz w:val="22"/>
          <w:szCs w:val="22"/>
          <w:lang w:val="ro-RO"/>
        </w:rPr>
        <w:t>ș</w:t>
      </w:r>
      <w:r w:rsidRPr="002E0F81">
        <w:rPr>
          <w:color w:val="000000"/>
          <w:sz w:val="22"/>
          <w:szCs w:val="22"/>
          <w:lang w:val="ro-RO"/>
        </w:rPr>
        <w:t>i complet</w:t>
      </w:r>
      <w:r>
        <w:rPr>
          <w:color w:val="000000"/>
          <w:sz w:val="22"/>
          <w:szCs w:val="22"/>
          <w:lang w:val="ro-RO"/>
        </w:rPr>
        <w:t>ă</w:t>
      </w:r>
      <w:r w:rsidRPr="002E0F81">
        <w:rPr>
          <w:color w:val="000000"/>
          <w:sz w:val="22"/>
          <w:szCs w:val="22"/>
          <w:lang w:val="ro-RO"/>
        </w:rPr>
        <w:t>rile ulterioare.</w:t>
      </w:r>
    </w:p>
    <w:p w14:paraId="3DF9EC49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37EA853C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3B062B09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76ADC2BF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0315085C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58EE6559" w14:textId="77777777" w:rsidR="00964D11" w:rsidRDefault="00964D11" w:rsidP="00964D11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14:paraId="4CB2DC74" w14:textId="77777777" w:rsidR="00964D11" w:rsidRPr="00472968" w:rsidRDefault="00964D11" w:rsidP="00964D11">
      <w:pPr>
        <w:ind w:left="720" w:firstLine="720"/>
        <w:rPr>
          <w:b/>
          <w:color w:val="000000"/>
          <w:szCs w:val="22"/>
          <w:lang w:val="ro-RO"/>
        </w:rPr>
      </w:pPr>
      <w:r w:rsidRPr="00472968">
        <w:rPr>
          <w:b/>
          <w:color w:val="000000"/>
          <w:szCs w:val="22"/>
          <w:lang w:val="ro-RO"/>
        </w:rPr>
        <w:t>Avizat Secretar General,                                                  PRIMAR,</w:t>
      </w:r>
    </w:p>
    <w:p w14:paraId="04C025D0" w14:textId="77777777" w:rsidR="00964D11" w:rsidRPr="00472968" w:rsidRDefault="00964D11" w:rsidP="00964D11">
      <w:pPr>
        <w:ind w:left="720" w:firstLine="720"/>
        <w:rPr>
          <w:b/>
          <w:color w:val="000000"/>
          <w:szCs w:val="22"/>
          <w:lang w:val="ro-RO"/>
        </w:rPr>
      </w:pPr>
      <w:r>
        <w:rPr>
          <w:b/>
        </w:rPr>
        <w:t>IUGA LOREDANA DANIELA</w:t>
      </w:r>
      <w:r w:rsidRPr="00472968">
        <w:rPr>
          <w:b/>
          <w:color w:val="000000"/>
          <w:szCs w:val="22"/>
          <w:lang w:val="ro-RO"/>
        </w:rPr>
        <w:tab/>
        <w:t xml:space="preserve">                                 TAUS  SORIN</w:t>
      </w:r>
    </w:p>
    <w:p w14:paraId="5A773D9B" w14:textId="77777777" w:rsidR="00964D11" w:rsidRDefault="00964D11" w:rsidP="00964D11">
      <w:pPr>
        <w:ind w:left="720" w:firstLine="720"/>
        <w:rPr>
          <w:color w:val="000000"/>
          <w:szCs w:val="22"/>
          <w:lang w:val="ro-RO"/>
        </w:rPr>
      </w:pPr>
    </w:p>
    <w:p w14:paraId="2B83411F" w14:textId="77777777" w:rsidR="00964D11" w:rsidRDefault="00964D11" w:rsidP="00964D11">
      <w:pPr>
        <w:ind w:left="720" w:firstLine="720"/>
        <w:rPr>
          <w:color w:val="000000"/>
          <w:szCs w:val="22"/>
          <w:lang w:val="ro-RO"/>
        </w:rPr>
      </w:pPr>
    </w:p>
    <w:p w14:paraId="6566059F" w14:textId="77777777" w:rsidR="00964D11" w:rsidRDefault="00964D11" w:rsidP="00964D11">
      <w:pPr>
        <w:ind w:left="720" w:firstLine="720"/>
        <w:rPr>
          <w:color w:val="000000"/>
          <w:szCs w:val="22"/>
          <w:lang w:val="ro-RO"/>
        </w:rPr>
      </w:pPr>
    </w:p>
    <w:p w14:paraId="15F289EB" w14:textId="77777777" w:rsidR="00964D11" w:rsidRDefault="00964D11" w:rsidP="00964D11">
      <w:pPr>
        <w:ind w:left="720" w:firstLine="720"/>
        <w:rPr>
          <w:color w:val="000000"/>
          <w:szCs w:val="22"/>
          <w:lang w:val="ro-RO"/>
        </w:rPr>
      </w:pPr>
    </w:p>
    <w:p w14:paraId="14A1B818" w14:textId="77777777" w:rsidR="00964D11" w:rsidRDefault="00964D11" w:rsidP="00964D11">
      <w:pPr>
        <w:ind w:left="720" w:firstLine="720"/>
        <w:rPr>
          <w:color w:val="000000"/>
          <w:szCs w:val="22"/>
          <w:lang w:val="ro-RO"/>
        </w:rPr>
      </w:pPr>
    </w:p>
    <w:p w14:paraId="1B201B48" w14:textId="77777777" w:rsidR="00964D11" w:rsidRDefault="00964D11" w:rsidP="00964D11">
      <w:pPr>
        <w:rPr>
          <w:color w:val="000000"/>
          <w:szCs w:val="22"/>
          <w:lang w:val="ro-RO"/>
        </w:rPr>
      </w:pPr>
    </w:p>
    <w:p w14:paraId="3B70CC0E" w14:textId="77777777" w:rsidR="009F4A19" w:rsidRDefault="009F4A19"/>
    <w:sectPr w:rsidR="009F4A19" w:rsidSect="00964D11">
      <w:pgSz w:w="12240" w:h="15840"/>
      <w:pgMar w:top="899" w:right="72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B8"/>
    <w:rsid w:val="00504DB8"/>
    <w:rsid w:val="00774C75"/>
    <w:rsid w:val="00964D11"/>
    <w:rsid w:val="009F4A19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CA02-3BCC-454A-8DC1-F6CB691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4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4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4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4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4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4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4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4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4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4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4DB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4DB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4DB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4DB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4DB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4DB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4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0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4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4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04DB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4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04DB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4DB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4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2025-09-19T08:49:00Z</dcterms:created>
  <dcterms:modified xsi:type="dcterms:W3CDTF">2025-09-19T08:49:00Z</dcterms:modified>
</cp:coreProperties>
</file>