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left"/>
      </w:pPr>
      <w:r>
        <w:rPr>
          <w:rFonts w:ascii="Times New Roman" w:hAnsi="Times New Roman" w:cs="Times New Roman" w:eastAsia="Times New Roman"/>
          <w:b/>
          <w:bCs/>
          <w:sz w:val="24"/>
          <w:szCs w:val="24"/>
        </w:rPr>
        <w:t xml:space="preserve">OFERTANTUL</w:t>
      </w:r>
    </w:p>
    <w:p>
      <w:pPr>
        <w:spacing w:before="0" w:after="0" w:line="240" w:lineRule="auto"/>
        <w:jc w:val="left"/>
      </w:pPr>
      <w:r>
        <w:rPr>
          <w:rFonts w:ascii="Times New Roman" w:hAnsi="Times New Roman" w:cs="Times New Roman" w:eastAsia="Times New Roman"/>
          <w:sz w:val="24"/>
          <w:szCs w:val="24"/>
        </w:rPr>
        <w:t xml:space="preserve">……………………………………………</w:t>
      </w:r>
    </w:p>
    <w:p>
      <w:pPr>
        <w:spacing w:before="0" w:after="0" w:line="240" w:lineRule="auto"/>
        <w:jc w:val="left"/>
      </w:pPr>
      <w:r>
        <w:rPr>
          <w:rFonts w:ascii="Times New Roman" w:hAnsi="Times New Roman" w:cs="Times New Roman" w:eastAsia="Times New Roman"/>
          <w:i/>
          <w:iCs/>
          <w:sz w:val="20"/>
          <w:szCs w:val="20"/>
        </w:rPr>
        <w:t xml:space="preserve">(denumirea/numele)</w:t>
      </w:r>
    </w:p>
    <w:p>
      <w:pPr>
        <w:spacing w:before="0" w:after="200" w:line="240" w:lineRule="auto"/>
        <w:jc w:val="right"/>
      </w:pPr>
      <w:r>
        <w:rPr>
          <w:rFonts w:ascii="Times New Roman" w:hAnsi="Times New Roman" w:cs="Times New Roman" w:eastAsia="Times New Roman"/>
          <w:b/>
          <w:bCs/>
          <w:sz w:val="24"/>
          <w:szCs w:val="24"/>
        </w:rPr>
        <w:t xml:space="preserve">Formularul nr. 3</w:t>
      </w:r>
    </w:p>
    <w:p>
      <w:pPr>
        <w:spacing w:before="0" w:after="0" w:line="240" w:lineRule="auto"/>
        <w:jc w:val="center"/>
      </w:pPr>
      <w:r>
        <w:rPr>
          <w:rFonts w:ascii="Times New Roman" w:hAnsi="Times New Roman" w:cs="Times New Roman" w:eastAsia="Times New Roman"/>
          <w:b/>
          <w:bCs/>
          <w:sz w:val="26"/>
          <w:szCs w:val="26"/>
        </w:rPr>
        <w:t xml:space="preserve">PROPUNERE FINANCIARĂ</w:t>
      </w:r>
    </w:p>
    <w:p>
      <w:pPr>
        <w:spacing w:before="0" w:after="60" w:line="240" w:lineRule="auto"/>
        <w:jc w:val="center"/>
      </w:pPr>
      <w:r>
        <w:rPr>
          <w:rFonts w:ascii="Times New Roman" w:hAnsi="Times New Roman" w:cs="Times New Roman" w:eastAsia="Times New Roman"/>
          <w:b/>
          <w:bCs/>
          <w:sz w:val="22"/>
          <w:szCs w:val="22"/>
        </w:rPr>
        <w:t xml:space="preserve">(formular de ofertă)</w:t>
      </w:r>
    </w:p>
    <w:p>
      <w:pPr>
        <w:spacing w:before="0" w:after="200" w:line="240" w:lineRule="auto"/>
        <w:jc w:val="center"/>
      </w:pPr>
      <w:r>
        <w:rPr>
          <w:rFonts w:ascii="Times New Roman" w:hAnsi="Times New Roman" w:cs="Times New Roman" w:eastAsia="Times New Roman"/>
          <w:b/>
          <w:bCs/>
          <w:sz w:val="22"/>
          <w:szCs w:val="22"/>
        </w:rPr>
        <w:t xml:space="preserve">pentru achiziția directă, inițiată prin anunț de publicitate în SICAP, a contractului „Furnizare gaze naturale pentru locurile de consum ale Comunei Feldioara, în perioada 01.04.2027 – 31.03.2028”</w:t>
      </w:r>
    </w:p>
    <w:p>
      <w:pPr>
        <w:spacing w:before="0" w:after="120" w:line="240" w:lineRule="auto"/>
        <w:jc w:val="left"/>
      </w:pPr>
      <w:r>
        <w:rPr>
          <w:rFonts w:ascii="Times New Roman" w:hAnsi="Times New Roman" w:cs="Times New Roman" w:eastAsia="Times New Roman"/>
          <w:b/>
          <w:bCs/>
          <w:sz w:val="24"/>
          <w:szCs w:val="24"/>
        </w:rPr>
        <w:t xml:space="preserve">Către:</w:t>
      </w:r>
      <w:r>
        <w:rPr>
          <w:rFonts w:ascii="Times New Roman" w:hAnsi="Times New Roman" w:cs="Times New Roman" w:eastAsia="Times New Roman"/>
          <w:sz w:val="24"/>
          <w:szCs w:val="24"/>
        </w:rPr>
        <w:t xml:space="preserve"> Comuna Feldioara, str. Octavian Goga nr. 55, județul Brașov</w:t>
      </w:r>
    </w:p>
    <w:p>
      <w:pPr>
        <w:spacing w:before="0" w:after="80" w:line="240" w:lineRule="auto"/>
        <w:jc w:val="both"/>
      </w:pPr>
      <w:r>
        <w:rPr>
          <w:rFonts w:ascii="Times New Roman" w:hAnsi="Times New Roman" w:cs="Times New Roman" w:eastAsia="Times New Roman"/>
          <w:sz w:val="24"/>
          <w:szCs w:val="24"/>
        </w:rPr>
        <w:t xml:space="preserve">Subsemnatul ……………………………………, reprezentant legal / împuternicit al ……………………………………… (denumirea ofertantului), în calitate de ofertant la achiziția directă, inițiată prin anunț de publicitate în SICAP, a contractului „Furnizare gaze naturale pentru locurile de consum ale Comunei Feldioara, în perioada 01.04.2027 – 31.03.2028”, după examinarea Caietului de sarcini nr. 12994 din 29.10.2026, ne oferim să furnizăm gaze naturale la cele 6 locuri de consum ale Comunei Feldioara, în conformitate cu propunerea tehnică, la următoarele prețuri:</w:t>
      </w:r>
    </w:p>
    <w:p>
      <w:pPr>
        <w:spacing w:before="0" w:after="0" w:line="240" w:lineRule="auto"/>
        <w:ind w:left="567"/>
        <w:jc w:val="left"/>
      </w:pPr>
      <w:r>
        <w:rPr>
          <w:rFonts w:ascii="Times New Roman" w:hAnsi="Times New Roman" w:cs="Times New Roman" w:eastAsia="Times New Roman"/>
          <w:b/>
          <w:bCs/>
          <w:sz w:val="24"/>
          <w:szCs w:val="24"/>
        </w:rPr>
        <w:t xml:space="preserve">Componenta de gaz (CG): ……………… lei/MWh, fără TVA</w:t>
      </w:r>
      <w:r>
        <w:rPr>
          <w:rFonts w:ascii="Times New Roman" w:hAnsi="Times New Roman" w:cs="Times New Roman" w:eastAsia="Times New Roman"/>
          <w:sz w:val="24"/>
          <w:szCs w:val="24"/>
        </w:rPr>
        <w:t xml:space="preserve"> (în litere: …………………………………………… lei/MWh),</w:t>
      </w:r>
    </w:p>
    <w:p>
      <w:pPr>
        <w:spacing w:before="0" w:after="60" w:line="240" w:lineRule="auto"/>
        <w:ind w:left="567"/>
        <w:jc w:val="left"/>
      </w:pPr>
      <w:r>
        <w:rPr>
          <w:rFonts w:ascii="Times New Roman" w:hAnsi="Times New Roman" w:cs="Times New Roman" w:eastAsia="Times New Roman"/>
          <w:sz w:val="24"/>
          <w:szCs w:val="24"/>
        </w:rPr>
        <w:t xml:space="preserve">fixă și fermă pe toată durata contractului, unică pentru toate locurile de consum și categoriile de consum;</w:t>
      </w:r>
    </w:p>
    <w:p>
      <w:pPr>
        <w:spacing w:before="0" w:after="0" w:line="240" w:lineRule="auto"/>
        <w:ind w:left="567"/>
        <w:jc w:val="left"/>
      </w:pPr>
      <w:r>
        <w:rPr>
          <w:rFonts w:ascii="Times New Roman" w:hAnsi="Times New Roman" w:cs="Times New Roman" w:eastAsia="Times New Roman"/>
          <w:b/>
          <w:bCs/>
          <w:sz w:val="24"/>
          <w:szCs w:val="24"/>
        </w:rPr>
        <w:t xml:space="preserve">Valoarea totală a ofertei: ……………… lei, fără TVA</w:t>
      </w:r>
      <w:r>
        <w:rPr>
          <w:rFonts w:ascii="Times New Roman" w:hAnsi="Times New Roman" w:cs="Times New Roman" w:eastAsia="Times New Roman"/>
          <w:sz w:val="24"/>
          <w:szCs w:val="24"/>
        </w:rPr>
        <w:t xml:space="preserve"> (în litere: …………………………………………… lei),</w:t>
      </w:r>
    </w:p>
    <w:p>
      <w:pPr>
        <w:spacing w:before="0" w:after="160" w:line="240" w:lineRule="auto"/>
        <w:ind w:left="567"/>
        <w:jc w:val="left"/>
      </w:pPr>
      <w:r>
        <w:rPr>
          <w:rFonts w:ascii="Times New Roman" w:hAnsi="Times New Roman" w:cs="Times New Roman" w:eastAsia="Times New Roman"/>
          <w:sz w:val="24"/>
          <w:szCs w:val="24"/>
        </w:rPr>
        <w:t xml:space="preserve">la care se adaugă TVA de ……………… lei, respectiv ……………… lei cu TVA, calculată conform tabelului de mai jos.</w:t>
      </w:r>
    </w:p>
    <w:p>
      <w:pPr>
        <w:keepNext/>
        <w:spacing w:before="80" w:after="80" w:line="240" w:lineRule="auto"/>
        <w:jc w:val="left"/>
      </w:pPr>
      <w:r>
        <w:rPr>
          <w:rFonts w:ascii="Times New Roman" w:hAnsi="Times New Roman" w:cs="Times New Roman" w:eastAsia="Times New Roman"/>
          <w:b/>
          <w:bCs/>
          <w:sz w:val="24"/>
          <w:szCs w:val="24"/>
        </w:rPr>
        <w:t xml:space="preserve">Calculul valorii totale a ofertei</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0" w:type="dxa"/>
          <w:left w:w="70" w:type="dxa"/>
          <w:bottom w:w="20" w:type="dxa"/>
          <w:right w:w="70" w:type="dxa"/>
        </w:tblCellMar>
      </w:tblPr>
      <w:tblGrid>
        <w:gridCol w:w="1150"/>
        <w:gridCol w:w="4700"/>
        <w:gridCol w:w="1000"/>
        <w:gridCol w:w="1350"/>
        <w:gridCol w:w="1438"/>
      </w:tblGrid>
      <w:tr>
        <w:trPr>
          <w:cantSplit/>
          <w:tblHeader/>
        </w:trPr>
        <w:tc>
          <w:tcPr>
            <w:tcW w:w="115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Nr.</w:t>
            </w:r>
          </w:p>
        </w:tc>
        <w:tc>
          <w:tcPr>
            <w:tcW w:w="47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Element</w:t>
            </w:r>
          </w:p>
        </w:tc>
        <w:tc>
          <w:tcPr>
            <w:tcW w:w="10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U.M.</w:t>
            </w:r>
          </w:p>
        </w:tc>
        <w:tc>
          <w:tcPr>
            <w:tcW w:w="135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Valoare</w:t>
            </w:r>
          </w:p>
        </w:tc>
        <w:tc>
          <w:tcPr>
            <w:tcW w:w="1438"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Completat de</w:t>
            </w:r>
          </w:p>
        </w:tc>
      </w:tr>
      <w:tr>
        <w:trPr>
          <w:cantSplit/>
        </w:trPr>
        <w:tc>
          <w:tcPr>
            <w:tcW w:w="1150" w:type="dxa"/>
            <w:vAlign w:val="center"/>
          </w:tcPr>
          <w:p>
            <w:pPr>
              <w:spacing w:before="0" w:after="0" w:line="240" w:lineRule="auto"/>
              <w:jc w:val="center"/>
            </w:pPr>
            <w:r>
              <w:rPr>
                <w:rFonts w:ascii="Times New Roman" w:hAnsi="Times New Roman" w:cs="Times New Roman" w:eastAsia="Times New Roman"/>
                <w:sz w:val="20"/>
                <w:szCs w:val="20"/>
              </w:rPr>
              <w:t xml:space="preserve">A</w:t>
            </w:r>
          </w:p>
        </w:tc>
        <w:tc>
          <w:tcPr>
            <w:tcW w:w="4700" w:type="dxa"/>
            <w:vAlign w:val="center"/>
          </w:tcPr>
          <w:p>
            <w:pPr>
              <w:spacing w:before="0" w:after="0" w:line="240" w:lineRule="auto"/>
              <w:jc w:val="left"/>
            </w:pPr>
            <w:r>
              <w:rPr>
                <w:rFonts w:ascii="Times New Roman" w:hAnsi="Times New Roman" w:cs="Times New Roman" w:eastAsia="Times New Roman"/>
                <w:sz w:val="20"/>
                <w:szCs w:val="20"/>
              </w:rPr>
              <w:t xml:space="preserve">Componenta de gaz (CG) – cap. VI pct. 2 din Caietul de sarcini</w:t>
            </w:r>
          </w:p>
        </w:tc>
        <w:tc>
          <w:tcPr>
            <w:tcW w:w="1000" w:type="dxa"/>
            <w:vAlign w:val="center"/>
          </w:tcPr>
          <w:p>
            <w:pPr>
              <w:spacing w:before="0" w:after="0" w:line="240" w:lineRule="auto"/>
              <w:jc w:val="center"/>
            </w:pPr>
            <w:r>
              <w:rPr>
                <w:rFonts w:ascii="Times New Roman" w:hAnsi="Times New Roman" w:cs="Times New Roman" w:eastAsia="Times New Roman"/>
                <w:sz w:val="20"/>
                <w:szCs w:val="20"/>
              </w:rPr>
              <w:t xml:space="preserve">lei/MWh</w:t>
            </w:r>
          </w:p>
        </w:tc>
        <w:tc>
          <w:tcPr>
            <w:tcW w:w="1350" w:type="dxa"/>
            <w:vAlign w:val="center"/>
          </w:tcPr>
          <w:p>
            <w:pPr>
              <w:spacing w:before="0" w:after="0" w:line="240" w:lineRule="auto"/>
              <w:jc w:val="right"/>
            </w:pPr>
            <w:r>
              <w:rPr>
                <w:rFonts w:ascii="Times New Roman" w:hAnsi="Times New Roman" w:cs="Times New Roman" w:eastAsia="Times New Roman"/>
                <w:sz w:val="20"/>
                <w:szCs w:val="20"/>
              </w:rPr>
              <w:t xml:space="preserve">………………</w:t>
            </w:r>
          </w:p>
        </w:tc>
        <w:tc>
          <w:tcPr>
            <w:tcW w:w="1438" w:type="dxa"/>
            <w:vAlign w:val="center"/>
          </w:tcPr>
          <w:p>
            <w:pPr>
              <w:spacing w:before="0" w:after="0" w:line="240" w:lineRule="auto"/>
              <w:jc w:val="center"/>
            </w:pPr>
            <w:r>
              <w:rPr>
                <w:rFonts w:ascii="Times New Roman" w:hAnsi="Times New Roman" w:cs="Times New Roman" w:eastAsia="Times New Roman"/>
                <w:sz w:val="20"/>
                <w:szCs w:val="20"/>
              </w:rPr>
              <w:t xml:space="preserve">ofertant</w:t>
            </w:r>
          </w:p>
        </w:tc>
      </w:tr>
      <w:tr>
        <w:trPr>
          <w:cantSplit/>
        </w:trPr>
        <w:tc>
          <w:tcPr>
            <w:tcW w:w="1150" w:type="dxa"/>
            <w:vAlign w:val="center"/>
          </w:tcPr>
          <w:p>
            <w:pPr>
              <w:spacing w:before="0" w:after="0" w:line="240" w:lineRule="auto"/>
              <w:jc w:val="center"/>
            </w:pPr>
            <w:r>
              <w:rPr>
                <w:rFonts w:ascii="Times New Roman" w:hAnsi="Times New Roman" w:cs="Times New Roman" w:eastAsia="Times New Roman"/>
                <w:sz w:val="20"/>
                <w:szCs w:val="20"/>
              </w:rPr>
              <w:t xml:space="preserve">B</w:t>
            </w:r>
          </w:p>
        </w:tc>
        <w:tc>
          <w:tcPr>
            <w:tcW w:w="4700" w:type="dxa"/>
            <w:vAlign w:val="center"/>
          </w:tcPr>
          <w:p>
            <w:pPr>
              <w:spacing w:before="0" w:after="0" w:line="240" w:lineRule="auto"/>
              <w:jc w:val="left"/>
            </w:pPr>
            <w:r>
              <w:rPr>
                <w:rFonts w:ascii="Times New Roman" w:hAnsi="Times New Roman" w:cs="Times New Roman" w:eastAsia="Times New Roman"/>
                <w:sz w:val="20"/>
                <w:szCs w:val="20"/>
              </w:rPr>
              <w:t xml:space="preserve">Componente reglementate – total (detaliate mai jos)</w:t>
            </w:r>
          </w:p>
        </w:tc>
        <w:tc>
          <w:tcPr>
            <w:tcW w:w="1000" w:type="dxa"/>
            <w:vAlign w:val="center"/>
          </w:tcPr>
          <w:p>
            <w:pPr>
              <w:spacing w:before="0" w:after="0" w:line="240" w:lineRule="auto"/>
              <w:jc w:val="center"/>
            </w:pPr>
            <w:r>
              <w:rPr>
                <w:rFonts w:ascii="Times New Roman" w:hAnsi="Times New Roman" w:cs="Times New Roman" w:eastAsia="Times New Roman"/>
                <w:sz w:val="20"/>
                <w:szCs w:val="20"/>
              </w:rPr>
              <w:t xml:space="preserve">lei/MWh</w:t>
            </w:r>
          </w:p>
        </w:tc>
        <w:tc>
          <w:tcPr>
            <w:tcW w:w="1350" w:type="dxa"/>
            <w:vAlign w:val="center"/>
          </w:tcPr>
          <w:p>
            <w:pPr>
              <w:spacing w:before="0" w:after="0" w:line="240" w:lineRule="auto"/>
              <w:jc w:val="right"/>
            </w:pPr>
            <w:r>
              <w:rPr>
                <w:rFonts w:ascii="Times New Roman" w:hAnsi="Times New Roman" w:cs="Times New Roman" w:eastAsia="Times New Roman"/>
                <w:sz w:val="20"/>
                <w:szCs w:val="20"/>
              </w:rPr>
              <w:t xml:space="preserve">106,81</w:t>
            </w:r>
          </w:p>
        </w:tc>
        <w:tc>
          <w:tcPr>
            <w:tcW w:w="1438" w:type="dxa"/>
            <w:vAlign w:val="center"/>
          </w:tcPr>
          <w:p>
            <w:pPr>
              <w:spacing w:before="0" w:after="0" w:line="240" w:lineRule="auto"/>
              <w:jc w:val="center"/>
            </w:pPr>
            <w:r>
              <w:rPr>
                <w:rFonts w:ascii="Times New Roman" w:hAnsi="Times New Roman" w:cs="Times New Roman" w:eastAsia="Times New Roman"/>
                <w:sz w:val="20"/>
                <w:szCs w:val="20"/>
              </w:rPr>
              <w:t xml:space="preserve">autoritatea</w:t>
            </w:r>
          </w:p>
          <w:p>
            <w:pPr>
              <w:spacing w:before="0" w:after="0" w:line="240" w:lineRule="auto"/>
              <w:jc w:val="center"/>
            </w:pPr>
            <w:r>
              <w:rPr>
                <w:rFonts w:ascii="Times New Roman" w:hAnsi="Times New Roman" w:cs="Times New Roman" w:eastAsia="Times New Roman"/>
                <w:sz w:val="20"/>
                <w:szCs w:val="20"/>
              </w:rPr>
              <w:t xml:space="preserve">contractantă</w:t>
            </w:r>
          </w:p>
        </w:tc>
      </w:tr>
      <w:tr>
        <w:trPr>
          <w:cantSplit/>
        </w:trPr>
        <w:tc>
          <w:tcPr>
            <w:tcW w:w="1150" w:type="dxa"/>
            <w:vAlign w:val="center"/>
          </w:tcPr>
          <w:p>
            <w:pPr>
              <w:spacing w:before="0" w:after="0" w:line="240" w:lineRule="auto"/>
              <w:jc w:val="center"/>
            </w:pPr>
            <w:r>
              <w:rPr>
                <w:rFonts w:ascii="Times New Roman" w:hAnsi="Times New Roman" w:cs="Times New Roman" w:eastAsia="Times New Roman"/>
                <w:sz w:val="20"/>
                <w:szCs w:val="20"/>
              </w:rPr>
              <w:t xml:space="preserve">C = A + B</w:t>
            </w:r>
          </w:p>
        </w:tc>
        <w:tc>
          <w:tcPr>
            <w:tcW w:w="4700" w:type="dxa"/>
            <w:vAlign w:val="center"/>
          </w:tcPr>
          <w:p>
            <w:pPr>
              <w:spacing w:before="0" w:after="0" w:line="240" w:lineRule="auto"/>
              <w:jc w:val="left"/>
            </w:pPr>
            <w:r>
              <w:rPr>
                <w:rFonts w:ascii="Times New Roman" w:hAnsi="Times New Roman" w:cs="Times New Roman" w:eastAsia="Times New Roman"/>
                <w:sz w:val="20"/>
                <w:szCs w:val="20"/>
              </w:rPr>
              <w:t xml:space="preserve">Preț unitar total pentru compararea ofertelor</w:t>
            </w:r>
          </w:p>
        </w:tc>
        <w:tc>
          <w:tcPr>
            <w:tcW w:w="1000" w:type="dxa"/>
            <w:vAlign w:val="center"/>
          </w:tcPr>
          <w:p>
            <w:pPr>
              <w:spacing w:before="0" w:after="0" w:line="240" w:lineRule="auto"/>
              <w:jc w:val="center"/>
            </w:pPr>
            <w:r>
              <w:rPr>
                <w:rFonts w:ascii="Times New Roman" w:hAnsi="Times New Roman" w:cs="Times New Roman" w:eastAsia="Times New Roman"/>
                <w:sz w:val="20"/>
                <w:szCs w:val="20"/>
              </w:rPr>
              <w:t xml:space="preserve">lei/MWh</w:t>
            </w:r>
          </w:p>
        </w:tc>
        <w:tc>
          <w:tcPr>
            <w:tcW w:w="1350" w:type="dxa"/>
            <w:vAlign w:val="center"/>
          </w:tcPr>
          <w:p>
            <w:pPr>
              <w:spacing w:before="0" w:after="0" w:line="240" w:lineRule="auto"/>
              <w:jc w:val="right"/>
            </w:pPr>
            <w:r>
              <w:rPr>
                <w:rFonts w:ascii="Times New Roman" w:hAnsi="Times New Roman" w:cs="Times New Roman" w:eastAsia="Times New Roman"/>
                <w:sz w:val="20"/>
                <w:szCs w:val="20"/>
              </w:rPr>
              <w:t xml:space="preserve">………………</w:t>
            </w:r>
          </w:p>
        </w:tc>
        <w:tc>
          <w:tcPr>
            <w:tcW w:w="1438" w:type="dxa"/>
            <w:vAlign w:val="center"/>
          </w:tcPr>
          <w:p>
            <w:pPr>
              <w:spacing w:before="0" w:after="0" w:line="240" w:lineRule="auto"/>
              <w:jc w:val="center"/>
            </w:pPr>
            <w:r>
              <w:rPr>
                <w:rFonts w:ascii="Times New Roman" w:hAnsi="Times New Roman" w:cs="Times New Roman" w:eastAsia="Times New Roman"/>
                <w:sz w:val="20"/>
                <w:szCs w:val="20"/>
              </w:rPr>
              <w:t xml:space="preserve">ofertant</w:t>
            </w:r>
          </w:p>
        </w:tc>
      </w:tr>
      <w:tr>
        <w:trPr>
          <w:cantSplit/>
        </w:trPr>
        <w:tc>
          <w:tcPr>
            <w:tcW w:w="1150" w:type="dxa"/>
            <w:vAlign w:val="center"/>
          </w:tcPr>
          <w:p>
            <w:pPr>
              <w:spacing w:before="0" w:after="0" w:line="240" w:lineRule="auto"/>
              <w:jc w:val="center"/>
            </w:pPr>
            <w:r>
              <w:rPr>
                <w:rFonts w:ascii="Times New Roman" w:hAnsi="Times New Roman" w:cs="Times New Roman" w:eastAsia="Times New Roman"/>
                <w:sz w:val="20"/>
                <w:szCs w:val="20"/>
              </w:rPr>
              <w:t xml:space="preserve">D</w:t>
            </w:r>
          </w:p>
        </w:tc>
        <w:tc>
          <w:tcPr>
            <w:tcW w:w="4700" w:type="dxa"/>
            <w:vAlign w:val="center"/>
          </w:tcPr>
          <w:p>
            <w:pPr>
              <w:spacing w:before="0" w:after="0" w:line="240" w:lineRule="auto"/>
              <w:jc w:val="left"/>
            </w:pPr>
            <w:r>
              <w:rPr>
                <w:rFonts w:ascii="Times New Roman" w:hAnsi="Times New Roman" w:cs="Times New Roman" w:eastAsia="Times New Roman"/>
                <w:sz w:val="20"/>
                <w:szCs w:val="20"/>
              </w:rPr>
              <w:t xml:space="preserve">Cantitate totală estimată (01.04.2027 – 31.03.2028)</w:t>
            </w:r>
          </w:p>
        </w:tc>
        <w:tc>
          <w:tcPr>
            <w:tcW w:w="1000" w:type="dxa"/>
            <w:vAlign w:val="center"/>
          </w:tcPr>
          <w:p>
            <w:pPr>
              <w:spacing w:before="0" w:after="0" w:line="240" w:lineRule="auto"/>
              <w:jc w:val="center"/>
            </w:pPr>
            <w:r>
              <w:rPr>
                <w:rFonts w:ascii="Times New Roman" w:hAnsi="Times New Roman" w:cs="Times New Roman" w:eastAsia="Times New Roman"/>
                <w:sz w:val="20"/>
                <w:szCs w:val="20"/>
              </w:rPr>
              <w:t xml:space="preserve">MWh</w:t>
            </w:r>
          </w:p>
        </w:tc>
        <w:tc>
          <w:tcPr>
            <w:tcW w:w="1350" w:type="dxa"/>
            <w:vAlign w:val="center"/>
          </w:tcPr>
          <w:p>
            <w:pPr>
              <w:spacing w:before="0" w:after="0" w:line="240" w:lineRule="auto"/>
              <w:jc w:val="right"/>
            </w:pPr>
            <w:r>
              <w:rPr>
                <w:rFonts w:ascii="Times New Roman" w:hAnsi="Times New Roman" w:cs="Times New Roman" w:eastAsia="Times New Roman"/>
                <w:sz w:val="20"/>
                <w:szCs w:val="20"/>
              </w:rPr>
              <w:t xml:space="preserve">551,231</w:t>
            </w:r>
          </w:p>
        </w:tc>
        <w:tc>
          <w:tcPr>
            <w:tcW w:w="1438" w:type="dxa"/>
            <w:vAlign w:val="center"/>
          </w:tcPr>
          <w:p>
            <w:pPr>
              <w:spacing w:before="0" w:after="0" w:line="240" w:lineRule="auto"/>
              <w:jc w:val="center"/>
            </w:pPr>
            <w:r>
              <w:rPr>
                <w:rFonts w:ascii="Times New Roman" w:hAnsi="Times New Roman" w:cs="Times New Roman" w:eastAsia="Times New Roman"/>
                <w:sz w:val="20"/>
                <w:szCs w:val="20"/>
              </w:rPr>
              <w:t xml:space="preserve">autoritatea</w:t>
            </w:r>
          </w:p>
          <w:p>
            <w:pPr>
              <w:spacing w:before="0" w:after="0" w:line="240" w:lineRule="auto"/>
              <w:jc w:val="center"/>
            </w:pPr>
            <w:r>
              <w:rPr>
                <w:rFonts w:ascii="Times New Roman" w:hAnsi="Times New Roman" w:cs="Times New Roman" w:eastAsia="Times New Roman"/>
                <w:sz w:val="20"/>
                <w:szCs w:val="20"/>
              </w:rPr>
              <w:t xml:space="preserve">contractantă</w:t>
            </w:r>
          </w:p>
        </w:tc>
      </w:tr>
      <w:tr>
        <w:trPr>
          <w:cantSplit/>
        </w:trPr>
        <w:tc>
          <w:tcPr>
            <w:tcW w:w="1150" w:type="dxa"/>
            <w:shd w:val="clear" w:color="auto" w:fill="F2F2F2"/>
            <w:vAlign w:val="center"/>
          </w:tcPr>
          <w:p>
            <w:pPr>
              <w:spacing w:before="0" w:after="0" w:line="240" w:lineRule="auto"/>
              <w:jc w:val="center"/>
            </w:pPr>
            <w:r>
              <w:rPr>
                <w:rFonts w:ascii="Times New Roman" w:hAnsi="Times New Roman" w:cs="Times New Roman" w:eastAsia="Times New Roman"/>
                <w:b/>
                <w:bCs/>
                <w:sz w:val="20"/>
                <w:szCs w:val="20"/>
              </w:rPr>
              <w:t xml:space="preserve">E = C × D</w:t>
            </w:r>
          </w:p>
        </w:tc>
        <w:tc>
          <w:tcPr>
            <w:tcW w:w="4700" w:type="dxa"/>
            <w:shd w:val="clear" w:color="auto" w:fill="F2F2F2"/>
            <w:vAlign w:val="center"/>
          </w:tcPr>
          <w:p>
            <w:pPr>
              <w:spacing w:before="0" w:after="0" w:line="240" w:lineRule="auto"/>
              <w:jc w:val="left"/>
            </w:pPr>
            <w:r>
              <w:rPr>
                <w:rFonts w:ascii="Times New Roman" w:hAnsi="Times New Roman" w:cs="Times New Roman" w:eastAsia="Times New Roman"/>
                <w:b/>
                <w:bCs/>
                <w:sz w:val="20"/>
                <w:szCs w:val="20"/>
              </w:rPr>
              <w:t xml:space="preserve">VALOAREA TOTALĂ A OFERTEI, fără TVA</w:t>
            </w:r>
          </w:p>
        </w:tc>
        <w:tc>
          <w:tcPr>
            <w:tcW w:w="1000" w:type="dxa"/>
            <w:shd w:val="clear" w:color="auto" w:fill="F2F2F2"/>
            <w:vAlign w:val="center"/>
          </w:tcPr>
          <w:p>
            <w:pPr>
              <w:spacing w:before="0" w:after="0" w:line="240" w:lineRule="auto"/>
              <w:jc w:val="center"/>
            </w:pPr>
            <w:r>
              <w:rPr>
                <w:rFonts w:ascii="Times New Roman" w:hAnsi="Times New Roman" w:cs="Times New Roman" w:eastAsia="Times New Roman"/>
                <w:b/>
                <w:bCs/>
                <w:sz w:val="20"/>
                <w:szCs w:val="20"/>
              </w:rPr>
              <w:t xml:space="preserve">lei</w:t>
            </w:r>
          </w:p>
        </w:tc>
        <w:tc>
          <w:tcPr>
            <w:tcW w:w="1350" w:type="dxa"/>
            <w:shd w:val="clear" w:color="auto" w:fill="F2F2F2"/>
            <w:vAlign w:val="center"/>
          </w:tcPr>
          <w:p>
            <w:pPr>
              <w:spacing w:before="0" w:after="0" w:line="240" w:lineRule="auto"/>
              <w:jc w:val="right"/>
            </w:pPr>
            <w:r>
              <w:rPr>
                <w:rFonts w:ascii="Times New Roman" w:hAnsi="Times New Roman" w:cs="Times New Roman" w:eastAsia="Times New Roman"/>
                <w:b/>
                <w:bCs/>
                <w:sz w:val="20"/>
                <w:szCs w:val="20"/>
              </w:rPr>
              <w:t xml:space="preserve">………………</w:t>
            </w:r>
          </w:p>
        </w:tc>
        <w:tc>
          <w:tcPr>
            <w:tcW w:w="1438" w:type="dxa"/>
            <w:shd w:val="clear" w:color="auto" w:fill="F2F2F2"/>
            <w:vAlign w:val="center"/>
          </w:tcPr>
          <w:p>
            <w:pPr>
              <w:spacing w:before="0" w:after="0" w:line="240" w:lineRule="auto"/>
              <w:jc w:val="center"/>
            </w:pPr>
            <w:r>
              <w:rPr>
                <w:rFonts w:ascii="Times New Roman" w:hAnsi="Times New Roman" w:cs="Times New Roman" w:eastAsia="Times New Roman"/>
                <w:b/>
                <w:bCs/>
                <w:sz w:val="20"/>
                <w:szCs w:val="20"/>
              </w:rPr>
              <w:t xml:space="preserve">ofertant</w:t>
            </w:r>
          </w:p>
        </w:tc>
      </w:tr>
      <w:tr>
        <w:trPr>
          <w:cantSplit/>
        </w:trPr>
        <w:tc>
          <w:tcPr>
            <w:tcW w:w="1150" w:type="dxa"/>
            <w:vAlign w:val="center"/>
          </w:tcPr>
          <w:p>
            <w:pPr>
              <w:spacing w:before="0" w:after="0" w:line="240" w:lineRule="auto"/>
              <w:jc w:val="center"/>
            </w:pPr>
            <w:r>
              <w:rPr>
                <w:rFonts w:ascii="Times New Roman" w:hAnsi="Times New Roman" w:cs="Times New Roman" w:eastAsia="Times New Roman"/>
                <w:sz w:val="20"/>
                <w:szCs w:val="20"/>
              </w:rPr>
              <w:t xml:space="preserve">F</w:t>
            </w:r>
          </w:p>
        </w:tc>
        <w:tc>
          <w:tcPr>
            <w:tcW w:w="4700" w:type="dxa"/>
            <w:vAlign w:val="center"/>
          </w:tcPr>
          <w:p>
            <w:pPr>
              <w:spacing w:before="0" w:after="0" w:line="240" w:lineRule="auto"/>
              <w:jc w:val="left"/>
            </w:pPr>
            <w:r>
              <w:rPr>
                <w:rFonts w:ascii="Times New Roman" w:hAnsi="Times New Roman" w:cs="Times New Roman" w:eastAsia="Times New Roman"/>
                <w:sz w:val="20"/>
                <w:szCs w:val="20"/>
              </w:rPr>
              <w:t xml:space="preserve">TVA 21% (E × 21%)</w:t>
            </w:r>
          </w:p>
        </w:tc>
        <w:tc>
          <w:tcPr>
            <w:tcW w:w="1000" w:type="dxa"/>
            <w:vAlign w:val="center"/>
          </w:tcPr>
          <w:p>
            <w:pPr>
              <w:spacing w:before="0" w:after="0" w:line="240" w:lineRule="auto"/>
              <w:jc w:val="center"/>
            </w:pPr>
            <w:r>
              <w:rPr>
                <w:rFonts w:ascii="Times New Roman" w:hAnsi="Times New Roman" w:cs="Times New Roman" w:eastAsia="Times New Roman"/>
                <w:sz w:val="20"/>
                <w:szCs w:val="20"/>
              </w:rPr>
              <w:t xml:space="preserve">lei</w:t>
            </w:r>
          </w:p>
        </w:tc>
        <w:tc>
          <w:tcPr>
            <w:tcW w:w="1350" w:type="dxa"/>
            <w:vAlign w:val="center"/>
          </w:tcPr>
          <w:p>
            <w:pPr>
              <w:spacing w:before="0" w:after="0" w:line="240" w:lineRule="auto"/>
              <w:jc w:val="right"/>
            </w:pPr>
            <w:r>
              <w:rPr>
                <w:rFonts w:ascii="Times New Roman" w:hAnsi="Times New Roman" w:cs="Times New Roman" w:eastAsia="Times New Roman"/>
                <w:sz w:val="20"/>
                <w:szCs w:val="20"/>
              </w:rPr>
              <w:t xml:space="preserve">………………</w:t>
            </w:r>
          </w:p>
        </w:tc>
        <w:tc>
          <w:tcPr>
            <w:tcW w:w="1438" w:type="dxa"/>
            <w:vAlign w:val="center"/>
          </w:tcPr>
          <w:p>
            <w:pPr>
              <w:spacing w:before="0" w:after="0" w:line="240" w:lineRule="auto"/>
              <w:jc w:val="center"/>
            </w:pPr>
            <w:r>
              <w:rPr>
                <w:rFonts w:ascii="Times New Roman" w:hAnsi="Times New Roman" w:cs="Times New Roman" w:eastAsia="Times New Roman"/>
                <w:sz w:val="20"/>
                <w:szCs w:val="20"/>
              </w:rPr>
              <w:t xml:space="preserve">ofertant</w:t>
            </w:r>
          </w:p>
        </w:tc>
      </w:tr>
      <w:tr>
        <w:trPr>
          <w:cantSplit/>
        </w:trPr>
        <w:tc>
          <w:tcPr>
            <w:tcW w:w="1150" w:type="dxa"/>
            <w:vAlign w:val="center"/>
          </w:tcPr>
          <w:p>
            <w:pPr>
              <w:spacing w:before="0" w:after="0" w:line="240" w:lineRule="auto"/>
              <w:jc w:val="center"/>
            </w:pPr>
            <w:r>
              <w:rPr>
                <w:rFonts w:ascii="Times New Roman" w:hAnsi="Times New Roman" w:cs="Times New Roman" w:eastAsia="Times New Roman"/>
                <w:sz w:val="20"/>
                <w:szCs w:val="20"/>
              </w:rPr>
              <w:t xml:space="preserve">G = E + F</w:t>
            </w:r>
          </w:p>
        </w:tc>
        <w:tc>
          <w:tcPr>
            <w:tcW w:w="4700" w:type="dxa"/>
            <w:vAlign w:val="center"/>
          </w:tcPr>
          <w:p>
            <w:pPr>
              <w:spacing w:before="0" w:after="0" w:line="240" w:lineRule="auto"/>
              <w:jc w:val="left"/>
            </w:pPr>
            <w:r>
              <w:rPr>
                <w:rFonts w:ascii="Times New Roman" w:hAnsi="Times New Roman" w:cs="Times New Roman" w:eastAsia="Times New Roman"/>
                <w:sz w:val="20"/>
                <w:szCs w:val="20"/>
              </w:rPr>
              <w:t xml:space="preserve">Valoarea totală a ofertei, cu TVA</w:t>
            </w:r>
          </w:p>
        </w:tc>
        <w:tc>
          <w:tcPr>
            <w:tcW w:w="1000" w:type="dxa"/>
            <w:vAlign w:val="center"/>
          </w:tcPr>
          <w:p>
            <w:pPr>
              <w:spacing w:before="0" w:after="0" w:line="240" w:lineRule="auto"/>
              <w:jc w:val="center"/>
            </w:pPr>
            <w:r>
              <w:rPr>
                <w:rFonts w:ascii="Times New Roman" w:hAnsi="Times New Roman" w:cs="Times New Roman" w:eastAsia="Times New Roman"/>
                <w:sz w:val="20"/>
                <w:szCs w:val="20"/>
              </w:rPr>
              <w:t xml:space="preserve">lei</w:t>
            </w:r>
          </w:p>
        </w:tc>
        <w:tc>
          <w:tcPr>
            <w:tcW w:w="1350" w:type="dxa"/>
            <w:vAlign w:val="center"/>
          </w:tcPr>
          <w:p>
            <w:pPr>
              <w:spacing w:before="0" w:after="0" w:line="240" w:lineRule="auto"/>
              <w:jc w:val="right"/>
            </w:pPr>
            <w:r>
              <w:rPr>
                <w:rFonts w:ascii="Times New Roman" w:hAnsi="Times New Roman" w:cs="Times New Roman" w:eastAsia="Times New Roman"/>
                <w:sz w:val="20"/>
                <w:szCs w:val="20"/>
              </w:rPr>
              <w:t xml:space="preserve">………………</w:t>
            </w:r>
          </w:p>
        </w:tc>
        <w:tc>
          <w:tcPr>
            <w:tcW w:w="1438" w:type="dxa"/>
            <w:vAlign w:val="center"/>
          </w:tcPr>
          <w:p>
            <w:pPr>
              <w:spacing w:before="0" w:after="0" w:line="240" w:lineRule="auto"/>
              <w:jc w:val="center"/>
            </w:pPr>
            <w:r>
              <w:rPr>
                <w:rFonts w:ascii="Times New Roman" w:hAnsi="Times New Roman" w:cs="Times New Roman" w:eastAsia="Times New Roman"/>
                <w:sz w:val="20"/>
                <w:szCs w:val="20"/>
              </w:rPr>
              <w:t xml:space="preserve">ofertant</w:t>
            </w:r>
          </w:p>
        </w:tc>
      </w:tr>
    </w:tbl>
    <w:p>
      <w:pPr>
        <w:spacing w:before="0" w:after="60" w:line="240" w:lineRule="auto"/>
        <w:jc w:val="both"/>
      </w:pPr>
    </w:p>
    <w:p>
      <w:pPr>
        <w:keepNext/>
        <w:spacing w:before="80" w:after="80" w:line="240" w:lineRule="auto"/>
        <w:jc w:val="left"/>
      </w:pPr>
      <w:r>
        <w:rPr>
          <w:rFonts w:ascii="Times New Roman" w:hAnsi="Times New Roman" w:cs="Times New Roman" w:eastAsia="Times New Roman"/>
          <w:b/>
          <w:bCs/>
          <w:sz w:val="24"/>
          <w:szCs w:val="24"/>
        </w:rPr>
        <w:t xml:space="preserve">Detalierea componentelor reglementate (rândul B)</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0" w:type="dxa"/>
          <w:left w:w="70" w:type="dxa"/>
          <w:bottom w:w="20" w:type="dxa"/>
          <w:right w:w="70" w:type="dxa"/>
        </w:tblCellMar>
      </w:tblPr>
      <w:tblGrid>
        <w:gridCol w:w="800"/>
        <w:gridCol w:w="6200"/>
        <w:gridCol w:w="2638"/>
      </w:tblGrid>
      <w:tr>
        <w:trPr>
          <w:cantSplit/>
          <w:tblHeader/>
        </w:trPr>
        <w:tc>
          <w:tcPr>
            <w:tcW w:w="8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Nr.</w:t>
            </w:r>
          </w:p>
        </w:tc>
        <w:tc>
          <w:tcPr>
            <w:tcW w:w="62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Componentă reglementată</w:t>
            </w:r>
          </w:p>
        </w:tc>
        <w:tc>
          <w:tcPr>
            <w:tcW w:w="2638"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Valoare</w:t>
            </w:r>
          </w:p>
          <w:p>
            <w:pPr>
              <w:spacing w:before="0" w:after="0" w:line="240" w:lineRule="auto"/>
              <w:jc w:val="center"/>
            </w:pPr>
            <w:r>
              <w:rPr>
                <w:rFonts w:ascii="Times New Roman" w:hAnsi="Times New Roman" w:cs="Times New Roman" w:eastAsia="Times New Roman"/>
                <w:b/>
                <w:bCs/>
                <w:sz w:val="20"/>
                <w:szCs w:val="20"/>
              </w:rPr>
              <w:t xml:space="preserve">(lei/MWh, fără TVA)</w:t>
            </w:r>
          </w:p>
        </w:tc>
      </w:tr>
      <w:tr>
        <w:trPr>
          <w:cantSplit/>
        </w:trPr>
        <w:tc>
          <w:tcPr>
            <w:tcW w:w="800" w:type="dxa"/>
            <w:vAlign w:val="center"/>
          </w:tcPr>
          <w:p>
            <w:pPr>
              <w:spacing w:before="0" w:after="0" w:line="240" w:lineRule="auto"/>
              <w:jc w:val="center"/>
            </w:pPr>
            <w:r>
              <w:rPr>
                <w:rFonts w:ascii="Times New Roman" w:hAnsi="Times New Roman" w:cs="Times New Roman" w:eastAsia="Times New Roman"/>
                <w:sz w:val="20"/>
                <w:szCs w:val="20"/>
              </w:rPr>
              <w:t xml:space="preserve">1</w:t>
            </w:r>
          </w:p>
        </w:tc>
        <w:tc>
          <w:tcPr>
            <w:tcW w:w="6200" w:type="dxa"/>
            <w:vAlign w:val="center"/>
          </w:tcPr>
          <w:p>
            <w:pPr>
              <w:spacing w:before="0" w:after="0" w:line="240" w:lineRule="auto"/>
              <w:jc w:val="left"/>
            </w:pPr>
            <w:r>
              <w:rPr>
                <w:rFonts w:ascii="Times New Roman" w:hAnsi="Times New Roman" w:cs="Times New Roman" w:eastAsia="Times New Roman"/>
                <w:sz w:val="20"/>
                <w:szCs w:val="20"/>
              </w:rPr>
              <w:t xml:space="preserve">Tarif de transport</w:t>
            </w:r>
          </w:p>
        </w:tc>
        <w:tc>
          <w:tcPr>
            <w:tcW w:w="2638" w:type="dxa"/>
            <w:vAlign w:val="center"/>
          </w:tcPr>
          <w:p>
            <w:pPr>
              <w:spacing w:before="0" w:after="0" w:line="240" w:lineRule="auto"/>
              <w:jc w:val="right"/>
            </w:pPr>
            <w:r>
              <w:rPr>
                <w:rFonts w:ascii="Times New Roman" w:hAnsi="Times New Roman" w:cs="Times New Roman" w:eastAsia="Times New Roman"/>
                <w:sz w:val="20"/>
                <w:szCs w:val="20"/>
              </w:rPr>
              <w:t xml:space="preserve">14,51</w:t>
            </w:r>
          </w:p>
        </w:tc>
      </w:tr>
      <w:tr>
        <w:trPr>
          <w:cantSplit/>
        </w:trPr>
        <w:tc>
          <w:tcPr>
            <w:tcW w:w="800" w:type="dxa"/>
            <w:vAlign w:val="center"/>
          </w:tcPr>
          <w:p>
            <w:pPr>
              <w:spacing w:before="0" w:after="0" w:line="240" w:lineRule="auto"/>
              <w:jc w:val="center"/>
            </w:pPr>
            <w:r>
              <w:rPr>
                <w:rFonts w:ascii="Times New Roman" w:hAnsi="Times New Roman" w:cs="Times New Roman" w:eastAsia="Times New Roman"/>
                <w:sz w:val="20"/>
                <w:szCs w:val="20"/>
              </w:rPr>
              <w:t xml:space="preserve">2</w:t>
            </w:r>
          </w:p>
        </w:tc>
        <w:tc>
          <w:tcPr>
            <w:tcW w:w="6200" w:type="dxa"/>
            <w:vAlign w:val="center"/>
          </w:tcPr>
          <w:p>
            <w:pPr>
              <w:spacing w:before="0" w:after="0" w:line="240" w:lineRule="auto"/>
              <w:jc w:val="left"/>
            </w:pPr>
            <w:r>
              <w:rPr>
                <w:rFonts w:ascii="Times New Roman" w:hAnsi="Times New Roman" w:cs="Times New Roman" w:eastAsia="Times New Roman"/>
                <w:sz w:val="20"/>
                <w:szCs w:val="20"/>
              </w:rPr>
              <w:t xml:space="preserve">Tarif de distribuție – OLIGOPOL S.R.L.</w:t>
            </w:r>
          </w:p>
        </w:tc>
        <w:tc>
          <w:tcPr>
            <w:tcW w:w="2638" w:type="dxa"/>
            <w:vAlign w:val="center"/>
          </w:tcPr>
          <w:p>
            <w:pPr>
              <w:spacing w:before="0" w:after="0" w:line="240" w:lineRule="auto"/>
              <w:jc w:val="right"/>
            </w:pPr>
            <w:r>
              <w:rPr>
                <w:rFonts w:ascii="Times New Roman" w:hAnsi="Times New Roman" w:cs="Times New Roman" w:eastAsia="Times New Roman"/>
                <w:sz w:val="20"/>
                <w:szCs w:val="20"/>
              </w:rPr>
              <w:t xml:space="preserve">87,58</w:t>
            </w:r>
          </w:p>
        </w:tc>
      </w:tr>
      <w:tr>
        <w:trPr>
          <w:cantSplit/>
        </w:trPr>
        <w:tc>
          <w:tcPr>
            <w:tcW w:w="800" w:type="dxa"/>
            <w:vAlign w:val="center"/>
          </w:tcPr>
          <w:p>
            <w:pPr>
              <w:spacing w:before="0" w:after="0" w:line="240" w:lineRule="auto"/>
              <w:jc w:val="center"/>
            </w:pPr>
            <w:r>
              <w:rPr>
                <w:rFonts w:ascii="Times New Roman" w:hAnsi="Times New Roman" w:cs="Times New Roman" w:eastAsia="Times New Roman"/>
                <w:sz w:val="20"/>
                <w:szCs w:val="20"/>
              </w:rPr>
              <w:t xml:space="preserve">3</w:t>
            </w:r>
          </w:p>
        </w:tc>
        <w:tc>
          <w:tcPr>
            <w:tcW w:w="6200" w:type="dxa"/>
            <w:vAlign w:val="center"/>
          </w:tcPr>
          <w:p>
            <w:pPr>
              <w:spacing w:before="0" w:after="0" w:line="240" w:lineRule="auto"/>
              <w:jc w:val="left"/>
            </w:pPr>
            <w:r>
              <w:rPr>
                <w:rFonts w:ascii="Times New Roman" w:hAnsi="Times New Roman" w:cs="Times New Roman" w:eastAsia="Times New Roman"/>
                <w:sz w:val="20"/>
                <w:szCs w:val="20"/>
              </w:rPr>
              <w:t xml:space="preserve">Acciză – consum în scop comercial (1,31 lei/GJ)</w:t>
            </w:r>
          </w:p>
        </w:tc>
        <w:tc>
          <w:tcPr>
            <w:tcW w:w="2638" w:type="dxa"/>
            <w:vAlign w:val="center"/>
          </w:tcPr>
          <w:p>
            <w:pPr>
              <w:spacing w:before="0" w:after="0" w:line="240" w:lineRule="auto"/>
              <w:jc w:val="right"/>
            </w:pPr>
            <w:r>
              <w:rPr>
                <w:rFonts w:ascii="Times New Roman" w:hAnsi="Times New Roman" w:cs="Times New Roman" w:eastAsia="Times New Roman"/>
                <w:sz w:val="20"/>
                <w:szCs w:val="20"/>
              </w:rPr>
              <w:t xml:space="preserve">4,72</w:t>
            </w:r>
          </w:p>
        </w:tc>
      </w:tr>
      <w:tr>
        <w:trPr>
          <w:cantSplit/>
        </w:trPr>
        <w:tc>
          <w:tcPr>
            <w:tcW w:w="800" w:type="dxa"/>
            <w:shd w:val="clear" w:color="auto" w:fill="F2F2F2"/>
            <w:vAlign w:val="center"/>
          </w:tcPr>
          <w:p>
            <w:pPr>
              <w:spacing w:before="0" w:after="0" w:line="240" w:lineRule="auto"/>
              <w:jc w:val="center"/>
            </w:pPr>
          </w:p>
        </w:tc>
        <w:tc>
          <w:tcPr>
            <w:tcW w:w="6200" w:type="dxa"/>
            <w:shd w:val="clear" w:color="auto" w:fill="F2F2F2"/>
            <w:vAlign w:val="center"/>
          </w:tcPr>
          <w:p>
            <w:pPr>
              <w:spacing w:before="0" w:after="0" w:line="240" w:lineRule="auto"/>
              <w:jc w:val="left"/>
            </w:pPr>
            <w:r>
              <w:rPr>
                <w:rFonts w:ascii="Times New Roman" w:hAnsi="Times New Roman" w:cs="Times New Roman" w:eastAsia="Times New Roman"/>
                <w:b/>
                <w:bCs/>
                <w:sz w:val="20"/>
                <w:szCs w:val="20"/>
              </w:rPr>
              <w:t xml:space="preserve">TOTAL (rândul B)</w:t>
            </w:r>
          </w:p>
        </w:tc>
        <w:tc>
          <w:tcPr>
            <w:tcW w:w="2638" w:type="dxa"/>
            <w:shd w:val="clear" w:color="auto" w:fill="F2F2F2"/>
            <w:vAlign w:val="center"/>
          </w:tcPr>
          <w:p>
            <w:pPr>
              <w:spacing w:before="0" w:after="0" w:line="240" w:lineRule="auto"/>
              <w:jc w:val="right"/>
            </w:pPr>
            <w:r>
              <w:rPr>
                <w:rFonts w:ascii="Times New Roman" w:hAnsi="Times New Roman" w:cs="Times New Roman" w:eastAsia="Times New Roman"/>
                <w:b/>
                <w:bCs/>
                <w:sz w:val="20"/>
                <w:szCs w:val="20"/>
              </w:rPr>
              <w:t xml:space="preserve">106,81</w:t>
            </w:r>
          </w:p>
        </w:tc>
      </w:tr>
    </w:tbl>
    <w:p>
      <w:pPr>
        <w:spacing w:before="0" w:after="60" w:line="240" w:lineRule="auto"/>
        <w:jc w:val="both"/>
      </w:pPr>
    </w:p>
    <w:p>
      <w:pPr>
        <w:keepNext/>
        <w:spacing w:before="80" w:after="80" w:line="240" w:lineRule="auto"/>
        <w:jc w:val="left"/>
      </w:pPr>
      <w:r>
        <w:rPr>
          <w:rFonts w:ascii="Times New Roman" w:hAnsi="Times New Roman" w:cs="Times New Roman" w:eastAsia="Times New Roman"/>
          <w:b/>
          <w:bCs/>
          <w:sz w:val="24"/>
          <w:szCs w:val="24"/>
        </w:rPr>
        <w:t xml:space="preserve">Reguli de completare</w:t>
      </w:r>
    </w:p>
    <w:p>
      <w:pPr>
        <w:spacing w:before="0" w:after="60" w:line="240" w:lineRule="auto"/>
        <w:ind w:left="567" w:hanging="340"/>
        <w:jc w:val="both"/>
      </w:pPr>
      <w:r>
        <w:rPr>
          <w:rFonts w:ascii="Times New Roman" w:hAnsi="Times New Roman" w:cs="Times New Roman" w:eastAsia="Times New Roman"/>
          <w:sz w:val="24"/>
          <w:szCs w:val="24"/>
        </w:rPr>
        <w:t xml:space="preserve">1. Ofertantul completează componenta de gaz (rândul A), cu cel mult două zecimale, și calculează rândurile C, E, F și G. Valorile din rândurile B și D și din tabelul de detaliere sunt stabilite de autoritatea contractantă, sunt identice pentru toți ofertanții și nu pot fi modificate.</w:t>
      </w:r>
    </w:p>
    <w:p>
      <w:pPr>
        <w:spacing w:before="0" w:after="60" w:line="240" w:lineRule="auto"/>
        <w:ind w:left="567" w:hanging="340"/>
        <w:jc w:val="both"/>
      </w:pPr>
      <w:r>
        <w:rPr>
          <w:rFonts w:ascii="Times New Roman" w:hAnsi="Times New Roman" w:cs="Times New Roman" w:eastAsia="Times New Roman"/>
          <w:sz w:val="24"/>
          <w:szCs w:val="24"/>
        </w:rPr>
        <w:t xml:space="preserve">2. Valorile rezultate din calcul (E, F, G) se rotunjesc la două zecimale.</w:t>
      </w:r>
    </w:p>
    <w:p>
      <w:pPr>
        <w:spacing w:before="0" w:after="60" w:line="240" w:lineRule="auto"/>
        <w:ind w:left="567" w:hanging="340"/>
        <w:jc w:val="both"/>
      </w:pPr>
      <w:r>
        <w:rPr>
          <w:rFonts w:ascii="Times New Roman" w:hAnsi="Times New Roman" w:cs="Times New Roman" w:eastAsia="Times New Roman"/>
          <w:sz w:val="24"/>
          <w:szCs w:val="24"/>
        </w:rPr>
        <w:t xml:space="preserve">3. Întrucât contractul se atribuie prin achiziție directă, </w:t>
      </w:r>
      <w:r>
        <w:rPr>
          <w:rFonts w:ascii="Times New Roman" w:hAnsi="Times New Roman" w:cs="Times New Roman" w:eastAsia="Times New Roman"/>
          <w:b/>
          <w:bCs/>
          <w:sz w:val="24"/>
          <w:szCs w:val="24"/>
        </w:rPr>
        <w:t xml:space="preserve">valoarea totală a ofertei (rândul E) nu poate depăși 270.120 lei, fără TVA</w:t>
      </w:r>
      <w:r>
        <w:rPr>
          <w:rFonts w:ascii="Times New Roman" w:hAnsi="Times New Roman" w:cs="Times New Roman" w:eastAsia="Times New Roman"/>
          <w:sz w:val="24"/>
          <w:szCs w:val="24"/>
        </w:rPr>
        <w:t xml:space="preserve">, respectiv </w:t>
      </w:r>
      <w:r>
        <w:rPr>
          <w:rFonts w:ascii="Times New Roman" w:hAnsi="Times New Roman" w:cs="Times New Roman" w:eastAsia="Times New Roman"/>
          <w:b/>
          <w:bCs/>
          <w:sz w:val="24"/>
          <w:szCs w:val="24"/>
        </w:rPr>
        <w:t xml:space="preserve">componenta de gaz nu poate depăși 383,22 lei/MWh</w:t>
      </w:r>
      <w:r>
        <w:rPr>
          <w:rFonts w:ascii="Times New Roman" w:hAnsi="Times New Roman" w:cs="Times New Roman" w:eastAsia="Times New Roman"/>
          <w:sz w:val="24"/>
          <w:szCs w:val="24"/>
        </w:rPr>
        <w:t xml:space="preserve">. Ofertele care depășesc aceste valori nu pot fi acceptate (cap. XII pct. 5 din Caietul de sarcini).</w:t>
      </w:r>
    </w:p>
    <w:p>
      <w:pPr>
        <w:spacing w:before="0" w:after="60" w:line="240" w:lineRule="auto"/>
        <w:ind w:left="567" w:hanging="340"/>
        <w:jc w:val="both"/>
      </w:pPr>
      <w:r>
        <w:rPr>
          <w:rFonts w:ascii="Times New Roman" w:hAnsi="Times New Roman" w:cs="Times New Roman" w:eastAsia="Times New Roman"/>
          <w:sz w:val="24"/>
          <w:szCs w:val="24"/>
        </w:rPr>
        <w:t xml:space="preserve">4. Valorile componentelor reglementate se utilizează exclusiv pentru compararea ofertelor. Pe durata contractului, componentele reglementate se facturează la valorile în vigoare în perioada de consum, iar plata se face pentru consumul efectiv (cap. VI și VII din Caietul de sarcini).</w:t>
      </w:r>
    </w:p>
    <w:p>
      <w:pPr>
        <w:spacing w:before="0" w:after="60" w:line="240" w:lineRule="auto"/>
        <w:ind w:left="567" w:hanging="340"/>
        <w:jc w:val="both"/>
      </w:pPr>
      <w:r>
        <w:rPr>
          <w:rFonts w:ascii="Times New Roman" w:hAnsi="Times New Roman" w:cs="Times New Roman" w:eastAsia="Times New Roman"/>
          <w:sz w:val="24"/>
          <w:szCs w:val="24"/>
        </w:rPr>
        <w:t xml:space="preserve">5. Componenta de gaz include toate costurile proprii ale furnizorului, inclusiv costurile de înmagazinare, de echilibrare și de dezechilibru (cap. VI pct. 2 din Caietul de sarcini). Ofertele cu componentă de gaz variabilă, indexată, diferențiată pe perioade, pe locuri de consum sau pe categorii de consum ori condiționată vor fi respinse.</w:t>
      </w:r>
    </w:p>
    <w:p>
      <w:pPr>
        <w:spacing w:before="0" w:after="60" w:line="240" w:lineRule="auto"/>
        <w:ind w:left="567" w:hanging="340"/>
        <w:jc w:val="both"/>
      </w:pPr>
      <w:r>
        <w:rPr>
          <w:rFonts w:ascii="Times New Roman" w:hAnsi="Times New Roman" w:cs="Times New Roman" w:eastAsia="Times New Roman"/>
          <w:sz w:val="24"/>
          <w:szCs w:val="24"/>
        </w:rPr>
        <w:t xml:space="preserve">6. În cazul unei discrepanțe între componenta de gaz și valorile calculate, prevalează componenta de gaz, iar valorile calculate se corectează în consecință. În cazul unei discrepanțe între valoarea exprimată în cifre și cea exprimată în litere, prevalează valoarea exprimată în litere.</w:t>
      </w:r>
    </w:p>
    <w:p>
      <w:pPr>
        <w:spacing w:before="0" w:after="60" w:line="240" w:lineRule="auto"/>
        <w:ind w:left="567" w:hanging="340"/>
        <w:jc w:val="both"/>
      </w:pPr>
      <w:r>
        <w:rPr>
          <w:rFonts w:ascii="Times New Roman" w:hAnsi="Times New Roman" w:cs="Times New Roman" w:eastAsia="Times New Roman"/>
          <w:sz w:val="24"/>
          <w:szCs w:val="24"/>
        </w:rPr>
        <w:t xml:space="preserve">7. Ofertantul clasat pe primul loc publică oferta în catalogul electronic SICAP la valoarea din rândul E, fără TVA, conform cap. XII pct. 6 din Caietul de sarcini și instrucțiunilor din notificarea autorității contractante.</w:t>
      </w:r>
    </w:p>
    <w:p>
      <w:pPr>
        <w:keepNext/>
        <w:spacing w:before="80" w:after="80" w:line="240" w:lineRule="auto"/>
        <w:jc w:val="left"/>
      </w:pPr>
      <w:r>
        <w:rPr>
          <w:rFonts w:ascii="Times New Roman" w:hAnsi="Times New Roman" w:cs="Times New Roman" w:eastAsia="Times New Roman"/>
          <w:b/>
          <w:bCs/>
          <w:sz w:val="24"/>
          <w:szCs w:val="24"/>
        </w:rPr>
        <w:t xml:space="preserve">Angajamente</w:t>
      </w:r>
    </w:p>
    <w:p>
      <w:pPr>
        <w:spacing w:before="0" w:after="60" w:line="240" w:lineRule="auto"/>
        <w:ind w:left="567" w:hanging="340"/>
        <w:jc w:val="both"/>
      </w:pPr>
      <w:r>
        <w:rPr>
          <w:rFonts w:ascii="Times New Roman" w:hAnsi="Times New Roman" w:cs="Times New Roman" w:eastAsia="Times New Roman"/>
          <w:sz w:val="24"/>
          <w:szCs w:val="24"/>
        </w:rPr>
        <w:t xml:space="preserve">1. Ne angajăm să menținem această ofertă valabilă timp de 60 de zile de la data-limită de transmitere a ofertelor; oferta ne angajează și poate fi acceptată oricând înainte de expirarea acestei perioade.</w:t>
      </w:r>
    </w:p>
    <w:p>
      <w:pPr>
        <w:spacing w:before="0" w:after="60" w:line="240" w:lineRule="auto"/>
        <w:ind w:left="567" w:hanging="340"/>
        <w:jc w:val="both"/>
      </w:pPr>
      <w:r>
        <w:rPr>
          <w:rFonts w:ascii="Times New Roman" w:hAnsi="Times New Roman" w:cs="Times New Roman" w:eastAsia="Times New Roman"/>
          <w:sz w:val="24"/>
          <w:szCs w:val="24"/>
        </w:rPr>
        <w:t xml:space="preserve">2. Ne angajăm ca, în cazul în care oferta noastră este clasată pe primul loc, să publicăm oferta în catalogul electronic SICAP, la prețul și în condițiile din prezenta ofertă, în termenul indicat în notificarea autorității contractante, și să semnăm contractul în forma modelului de contract.</w:t>
      </w:r>
    </w:p>
    <w:p>
      <w:pPr>
        <w:spacing w:before="0" w:after="60" w:line="240" w:lineRule="auto"/>
        <w:ind w:left="567" w:hanging="340"/>
        <w:jc w:val="both"/>
      </w:pPr>
      <w:r>
        <w:rPr>
          <w:rFonts w:ascii="Times New Roman" w:hAnsi="Times New Roman" w:cs="Times New Roman" w:eastAsia="Times New Roman"/>
          <w:sz w:val="24"/>
          <w:szCs w:val="24"/>
        </w:rPr>
        <w:t xml:space="preserve">3. Înțelegem că valoarea contractului este valoarea totală a ofertei din rândul E, iar plățile se fac pe baza consumului efectiv, conform Caietului de sarcini.</w:t>
      </w:r>
    </w:p>
    <w:p>
      <w:pPr>
        <w:spacing w:before="0" w:after="60" w:line="240" w:lineRule="auto"/>
        <w:ind w:left="567" w:hanging="340"/>
        <w:jc w:val="both"/>
      </w:pPr>
      <w:r>
        <w:rPr>
          <w:rFonts w:ascii="Times New Roman" w:hAnsi="Times New Roman" w:cs="Times New Roman" w:eastAsia="Times New Roman"/>
          <w:sz w:val="24"/>
          <w:szCs w:val="24"/>
        </w:rPr>
        <w:t xml:space="preserve">4. Precizăm că nu depunem ofertă alternativă.</w:t>
      </w:r>
    </w:p>
    <w:p>
      <w:pPr>
        <w:spacing w:before="200" w:after="200" w:line="240" w:lineRule="auto"/>
        <w:jc w:val="left"/>
      </w:pPr>
      <w:r>
        <w:rPr>
          <w:rFonts w:ascii="Times New Roman" w:hAnsi="Times New Roman" w:cs="Times New Roman" w:eastAsia="Times New Roman"/>
          <w:sz w:val="24"/>
          <w:szCs w:val="24"/>
        </w:rPr>
        <w:t xml:space="preserve">Data completării: ……………………</w:t>
      </w:r>
    </w:p>
    <w:p>
      <w:pPr>
        <w:spacing w:before="0" w:after="0" w:line="240" w:lineRule="auto"/>
        <w:jc w:val="left"/>
      </w:pPr>
      <w:r>
        <w:rPr>
          <w:rFonts w:ascii="Times New Roman" w:hAnsi="Times New Roman" w:cs="Times New Roman" w:eastAsia="Times New Roman"/>
          <w:sz w:val="24"/>
          <w:szCs w:val="24"/>
        </w:rPr>
        <w:t xml:space="preserve">Ofertant,</w:t>
      </w:r>
    </w:p>
    <w:p>
      <w:pPr>
        <w:spacing w:before="0" w:after="0" w:line="240" w:lineRule="auto"/>
        <w:jc w:val="left"/>
      </w:pPr>
      <w:r>
        <w:rPr>
          <w:rFonts w:ascii="Times New Roman" w:hAnsi="Times New Roman" w:cs="Times New Roman" w:eastAsia="Times New Roman"/>
          <w:sz w:val="24"/>
          <w:szCs w:val="24"/>
        </w:rPr>
        <w:t xml:space="preserve">……………………………………………</w:t>
      </w:r>
    </w:p>
    <w:p>
      <w:pPr>
        <w:spacing w:before="0" w:after="80" w:line="240" w:lineRule="auto"/>
        <w:jc w:val="left"/>
      </w:pPr>
      <w:r>
        <w:rPr>
          <w:rFonts w:ascii="Times New Roman" w:hAnsi="Times New Roman" w:cs="Times New Roman" w:eastAsia="Times New Roman"/>
          <w:i/>
          <w:iCs/>
          <w:sz w:val="20"/>
          <w:szCs w:val="20"/>
        </w:rPr>
        <w:t xml:space="preserve">(denumirea, numele și prenumele reprezentantului legal / împuternicit, semnătură electronică extinsă)</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